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7989A">
      <w:pPr>
        <w:keepNext w:val="0"/>
        <w:keepLines w:val="0"/>
        <w:pageBreakBefore w:val="0"/>
        <w:widowControl w:val="0"/>
        <w:kinsoku/>
        <w:wordWrap/>
        <w:overflowPunct/>
        <w:topLinePunct w:val="0"/>
        <w:autoSpaceDE w:val="0"/>
        <w:autoSpaceDN w:val="0"/>
        <w:bidi w:val="0"/>
        <w:adjustRightInd/>
        <w:snapToGrid/>
        <w:spacing w:line="560" w:lineRule="exact"/>
        <w:jc w:val="left"/>
        <w:textAlignment w:val="auto"/>
        <w:rPr>
          <w:rFonts w:hint="eastAsia" w:ascii="黑体" w:hAnsi="黑体" w:eastAsia="黑体" w:cs="黑体"/>
          <w:spacing w:val="20"/>
          <w:sz w:val="32"/>
          <w:szCs w:val="32"/>
          <w:lang w:val="en-US" w:eastAsia="zh-CN"/>
        </w:rPr>
      </w:pPr>
      <w:r>
        <w:rPr>
          <w:rFonts w:hint="eastAsia" w:ascii="黑体" w:hAnsi="黑体" w:eastAsia="黑体" w:cs="黑体"/>
          <w:spacing w:val="20"/>
          <w:sz w:val="32"/>
          <w:szCs w:val="32"/>
          <w:lang w:val="en-US" w:eastAsia="zh-CN"/>
        </w:rPr>
        <w:t>附件</w:t>
      </w:r>
    </w:p>
    <w:p w14:paraId="32DE5F44">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Times New Roman" w:hAnsi="Times New Roman" w:eastAsia="宋体" w:cs="Times New Roman"/>
          <w:b/>
          <w:bCs/>
          <w:spacing w:val="20"/>
          <w:sz w:val="30"/>
          <w:szCs w:val="30"/>
          <w:lang w:val="en-US" w:eastAsia="zh-CN"/>
        </w:rPr>
      </w:pPr>
      <w:bookmarkStart w:id="0" w:name="_GoBack"/>
      <w:r>
        <w:rPr>
          <w:rFonts w:hint="eastAsia" w:ascii="Times New Roman" w:hAnsi="Times New Roman" w:eastAsia="宋体" w:cs="Times New Roman"/>
          <w:b/>
          <w:bCs/>
          <w:spacing w:val="20"/>
          <w:sz w:val="30"/>
          <w:szCs w:val="30"/>
          <w:lang w:val="en-US" w:eastAsia="zh-CN"/>
        </w:rPr>
        <w:t>贵州医科大学第三附属医院</w:t>
      </w:r>
    </w:p>
    <w:p w14:paraId="2C0BB8C6">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default" w:ascii="宋体" w:hAnsi="宋体" w:eastAsia="宋体" w:cs="宋体"/>
          <w:b/>
          <w:bCs/>
          <w:sz w:val="30"/>
          <w:szCs w:val="30"/>
          <w:lang w:val="en-US" w:eastAsia="zh-CN"/>
        </w:rPr>
      </w:pPr>
      <w:r>
        <w:rPr>
          <w:rFonts w:hint="eastAsia" w:ascii="Times New Roman" w:hAnsi="Times New Roman" w:eastAsia="宋体" w:cs="Times New Roman"/>
          <w:b/>
          <w:bCs/>
          <w:spacing w:val="20"/>
          <w:sz w:val="30"/>
          <w:szCs w:val="30"/>
          <w:lang w:val="en-US" w:eastAsia="zh-CN"/>
        </w:rPr>
        <w:t>全国严重创伤救治信息交互联动系统维保服务项目需求</w:t>
      </w:r>
      <w:bookmarkEnd w:id="0"/>
    </w:p>
    <w:p w14:paraId="62B8302A">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480" w:firstLineChars="200"/>
        <w:textAlignment w:val="auto"/>
        <w:rPr>
          <w:rFonts w:hint="eastAsia" w:ascii="宋体" w:hAnsi="宋体" w:eastAsia="宋体" w:cs="宋体"/>
          <w:sz w:val="24"/>
          <w:szCs w:val="24"/>
          <w:lang w:val="en-US" w:eastAsia="zh-CN"/>
        </w:rPr>
      </w:pPr>
    </w:p>
    <w:p w14:paraId="1AF67173">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一、软件功能服务：移动端+电脑端。</w:t>
      </w:r>
    </w:p>
    <w:p w14:paraId="7B9798F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移动端</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着重强化院前院内协同效率。在院前急救信息预警联动方面，可一键向医院发出预警，院内能实时接收并自主选择确认或延时接收，同时能发起 MDT 功能。支持个人或 MDT 呼叫，通过语音电话提醒相关人员签到。实现院前与院内专家实时音视频会诊，具备静音、切换摄像头等实用功能，可查看会诊记录，允许急救人员暂退再进，支持添加会诊成员。转诊模块可方便同级医院之间以及下级医院向上级医院转诊，能查看病历详情、显示转送实况。移动端还能智能切换患者信息，凭借丰富功能完成病历填报，支持快速检索，填报时可暂存与保存，提供缺项提醒与逻辑校验，自动生成交接单，有力推动严重创伤救治高效进行。</w:t>
      </w:r>
    </w:p>
    <w:p w14:paraId="1F28D4AC">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院前院内协同</w:t>
      </w:r>
    </w:p>
    <w:p w14:paraId="62342E5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支持一键将文本、图像、语音、视频生成患者档案，保留原始信息，并支持将群聊信息合并至对应病历。</w:t>
      </w:r>
    </w:p>
    <w:p w14:paraId="167C226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支持创建院际协作组，可组建本院与外院专家协作群。</w:t>
      </w:r>
    </w:p>
    <w:p w14:paraId="75C6F45A">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支持患者急救信息分享功能，可将信息分享到其他协作组中。</w:t>
      </w:r>
    </w:p>
    <w:p w14:paraId="27FA6396">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患者伤情变化时自动触发预警，及时推送至院内相关科室。</w:t>
      </w:r>
    </w:p>
    <w:p w14:paraId="452B86AD">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院前急救信息预警联动</w:t>
      </w:r>
    </w:p>
    <w:p w14:paraId="25337E3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支持院前智能预警医院，院内实时获取院前信息，告知终端会进行声音提醒，医院医护人员可确认并接收预警。并支持延时接收预警。</w:t>
      </w:r>
    </w:p>
    <w:p w14:paraId="3AFA0E2E">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支持一键预警并发起MDT功能，院内急救医护人员可及时了解患者情况并提前做好急救准备工作，提高救治效率。</w:t>
      </w:r>
    </w:p>
    <w:p w14:paraId="2D064C48">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支持院前发起个人呼叫和 MDT呼叫，被呼叫人员会收到语音电话提醒查看并签到。</w:t>
      </w:r>
    </w:p>
    <w:p w14:paraId="697F7C41">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移动会诊系统</w:t>
      </w:r>
      <w:r>
        <w:rPr>
          <w:rFonts w:hint="eastAsia" w:ascii="宋体" w:hAnsi="宋体" w:eastAsia="宋体" w:cs="宋体"/>
          <w:color w:val="auto"/>
          <w:sz w:val="24"/>
          <w:szCs w:val="24"/>
          <w:highlight w:val="none"/>
        </w:rPr>
        <w:tab/>
      </w:r>
    </w:p>
    <w:p w14:paraId="297BA6D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院前急救团队可发起与院内专家的实时音视频会诊，支持在视频过程中静音以及切换前置、后置摄像头。</w:t>
      </w:r>
    </w:p>
    <w:p w14:paraId="6B52EB1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支持查看远程音视频会诊的呼叫记录。</w:t>
      </w:r>
    </w:p>
    <w:p w14:paraId="7C064E8C">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支持院前急救医护人员暂时退出后再次进入会诊。</w:t>
      </w:r>
    </w:p>
    <w:p w14:paraId="698479F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支持参会人员输入会诊意见，且在会诊过程中可添加新会诊人员进入线上会诊。</w:t>
      </w:r>
    </w:p>
    <w:p w14:paraId="4E219D71">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转诊模块</w:t>
      </w:r>
      <w:r>
        <w:rPr>
          <w:rFonts w:hint="eastAsia" w:ascii="宋体" w:hAnsi="宋体" w:eastAsia="宋体" w:cs="宋体"/>
          <w:color w:val="auto"/>
          <w:sz w:val="24"/>
          <w:szCs w:val="24"/>
          <w:highlight w:val="none"/>
        </w:rPr>
        <w:tab/>
      </w:r>
    </w:p>
    <w:p w14:paraId="09589343">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支持同级医院间以及特定区域内下级医院向上级医院的严重患者转院功能。</w:t>
      </w:r>
    </w:p>
    <w:p w14:paraId="06D3E9DF">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支持转入医院的医护人员在规定时效内查看患者在转出医院的历史病历信息。</w:t>
      </w:r>
    </w:p>
    <w:p w14:paraId="7F10721A">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患者情况一览表</w:t>
      </w:r>
    </w:p>
    <w:p w14:paraId="2B6E43B7">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支持展示转送实况，快速记录转运时间点记录。</w:t>
      </w:r>
    </w:p>
    <w:p w14:paraId="4BCF4BC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支持展示患者基本信息、主诉、生命体征、评分等信息。</w:t>
      </w:r>
    </w:p>
    <w:p w14:paraId="6FE999EE">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支持展示患者列表，实现全院创伤患者信息的智能切换。</w:t>
      </w:r>
    </w:p>
    <w:p w14:paraId="1CF91D44">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支持院前急救团队与院内急诊急救团队进行实时音视频会诊通话。</w:t>
      </w:r>
    </w:p>
    <w:p w14:paraId="50BDDD2B">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智能输入</w:t>
      </w:r>
    </w:p>
    <w:p w14:paraId="31CCF601">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支持身份证图片识别，简化创建患者功能。</w:t>
      </w:r>
    </w:p>
    <w:p w14:paraId="3035BC18">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支持通过语音录入快速生成结构化电子病历，提高登记的效率。</w:t>
      </w:r>
    </w:p>
    <w:p w14:paraId="12925D7D">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支持多模态数据录入，涵盖文本、声音、视频、图片等信息，并可将这些数据合并至患者信息中，确保院前患者信息完整。</w:t>
      </w:r>
    </w:p>
    <w:p w14:paraId="6098F76E">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院前急救电子病历系统</w:t>
      </w:r>
    </w:p>
    <w:p w14:paraId="64DCF55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支持录入创伤患者的基本信息、院前急救电子病历信息等。</w:t>
      </w:r>
    </w:p>
    <w:p w14:paraId="1073F6AC">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支持查看创伤患者的TI评分、GCS评分和ISS/AIS评分结果和明细。</w:t>
      </w:r>
    </w:p>
    <w:p w14:paraId="22153628">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急救病历填报</w:t>
      </w:r>
    </w:p>
    <w:p w14:paraId="0DE198C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支持通过关键字模糊检索、不同时间范围、数据状态等条件进行快速检索。</w:t>
      </w:r>
    </w:p>
    <w:p w14:paraId="3B6A15F4">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填报或编辑患者数据时，提供数据暂存和保存功能。暂存时只校验已填写字段的有效性和合理性，提升填写便捷性。</w:t>
      </w:r>
    </w:p>
    <w:p w14:paraId="43B765D6">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电子病历系统各模块提供缺项必填字段数提醒，对填写完整模块给予提示，可快速定位缺项。</w:t>
      </w:r>
    </w:p>
    <w:p w14:paraId="7339C11C">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提供时间节点字段逻辑校验与提示功能。</w:t>
      </w:r>
    </w:p>
    <w:p w14:paraId="3D9F282A">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支持自动计算患者数据填报完整度、一键预览填写结果，同时提供 TI、GCS、ISS/AIS 评分工具。</w:t>
      </w:r>
    </w:p>
    <w:p w14:paraId="22AA0C57">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移动交接</w:t>
      </w:r>
    </w:p>
    <w:p w14:paraId="0B4197D6">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支持自动生成院前院内交接单，交接单签字。</w:t>
      </w:r>
    </w:p>
    <w:p w14:paraId="69174F59">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支持预览及打印院前院内交接单。</w:t>
      </w:r>
    </w:p>
    <w:p w14:paraId="1B4E522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电脑端专注构建全面高效的救治体系。在院前院内协同环节，可一键整合文本、图像、语音、视频生成患者档案，实时获取患者信息，提前筹备医疗资源。能够创建院际协作组，实现患者急救信息的分享。在预警联动上，可实时接收院前智能预警，通过声音提醒医护人员确认或延时接收，支持院内发起呼叫通知会诊。远程会诊可实现院前与院内实时音视频通话，能查看记录、暂退再进、添加会诊人员。急救电子病历系统可全面录入患者多阶段信息，展示关键救治节点与 19 项质控指标。系统配备多种评分工具，方便操作与管理。能生成基本周报，统计分析数据，展示全国及省排名，可按年、月、周检索周报数据，查看历史不同周期周报的变化趋势，还能查看预警、呼叫、会诊等历史记录并进行相应操作。</w:t>
      </w:r>
    </w:p>
    <w:p w14:paraId="366B1631">
      <w:pPr>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left="0"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电脑端</w:t>
      </w:r>
    </w:p>
    <w:p w14:paraId="28E0672A">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院前院内协同</w:t>
      </w:r>
    </w:p>
    <w:p w14:paraId="38C0E42F">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支持一键将文本、图像、语音、视频生成患者档案，保留原始信息，并支持将群聊信息合并至对应病历。</w:t>
      </w:r>
    </w:p>
    <w:p w14:paraId="380E91A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支持实时获取院前急救团队和院内医护人员提交的患者信息，提前准备医疗资源。</w:t>
      </w:r>
    </w:p>
    <w:p w14:paraId="53C9B0D8">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支持创建院际协作组，可组建本院与外院专家协作群。</w:t>
      </w:r>
    </w:p>
    <w:p w14:paraId="5090189B">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支持分享功能，患者急救信息可以分享到多个协作组中，为远程会诊提供支持。</w:t>
      </w:r>
    </w:p>
    <w:p w14:paraId="6C19C497">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院前院内预警联动</w:t>
      </w:r>
    </w:p>
    <w:p w14:paraId="75DA88D9">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支持实时接收院前智能预警信息，院内告知终端会收到声音提醒，医院医护人员可确认并接收预警。并支持延时接收预警。</w:t>
      </w:r>
    </w:p>
    <w:p w14:paraId="320B3B22">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支持院内发起个人呼叫和MDT呼叫功能，通知其他科室医生进行会诊。被呼叫人员会收到语音电话提醒查看并签到。</w:t>
      </w:r>
    </w:p>
    <w:p w14:paraId="057328D8">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远程会诊系统</w:t>
      </w:r>
    </w:p>
    <w:p w14:paraId="555B558B">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支持院前急救团队与院内急诊急救团队进行实时音视频会诊通话。</w:t>
      </w:r>
    </w:p>
    <w:p w14:paraId="64BDD70D">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支持查看远程音视频会诊的呼叫记录。</w:t>
      </w:r>
    </w:p>
    <w:p w14:paraId="7095715B">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支持暂时退出后再次进入会诊，且支持参会人员输入会诊意见。</w:t>
      </w:r>
    </w:p>
    <w:p w14:paraId="616E03BE">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支持会诊过程中添加新的会诊人员进入线上会诊。</w:t>
      </w:r>
    </w:p>
    <w:p w14:paraId="40BFBA2F">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急救电子病历系统</w:t>
      </w:r>
    </w:p>
    <w:p w14:paraId="12A063A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支持录入创伤患者的基本信息、院前急救电子病历信息、门急诊信息、住院信息等。</w:t>
      </w:r>
    </w:p>
    <w:p w14:paraId="1BF1C2A1">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支持查看创伤患者的TI评分、GCS评分和ISS/AIS评分结果和明细。</w:t>
      </w:r>
    </w:p>
    <w:p w14:paraId="538AD81A">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在病历系统中可直观查看患者时间轴，自动归集并展示全流程关键救治节点信息，同时展示国家创伤医学中心要求的 19 项质控指标结果。</w:t>
      </w:r>
    </w:p>
    <w:p w14:paraId="7BD22294">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评分工具</w:t>
      </w:r>
    </w:p>
    <w:p w14:paraId="7041A63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提供创伤患者院前使用的TI评分、GCS评分工具。</w:t>
      </w:r>
    </w:p>
    <w:p w14:paraId="66A9FC96">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提供院内医生使用的ISS/AIS评分工具，支持多次评估。</w:t>
      </w:r>
    </w:p>
    <w:p w14:paraId="46686672">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支持所有评分工具快速点选评分项，将不同分级的评估结果用不同颜色高亮展示。</w:t>
      </w:r>
    </w:p>
    <w:p w14:paraId="30571E5F">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所有创伤评分工具均支持新增、查看、编辑、删除的功能。</w:t>
      </w:r>
    </w:p>
    <w:p w14:paraId="736F05B1">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创伤病例上报系统</w:t>
      </w:r>
    </w:p>
    <w:p w14:paraId="609ECAE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支持常用条件快速检索，涵盖关键字模糊检索、不同时间范围、严重创伤病人及病人分类等；</w:t>
      </w:r>
    </w:p>
    <w:p w14:paraId="168164AD">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支持高级查询功能，支持系统全变量字段条件或条件组的与、或、非组合查询，不同字段类型（文本、数值）对应不同检索关系。</w:t>
      </w:r>
    </w:p>
    <w:p w14:paraId="60CF872C">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可将高级检索常用条件保存为模板，实现一键快速调用搜索。</w:t>
      </w:r>
    </w:p>
    <w:p w14:paraId="73129064">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支持填报或编辑患者数据的暂存和保存功能，暂存仅校验已填字段，便于快速填写。</w:t>
      </w:r>
    </w:p>
    <w:p w14:paraId="7349BC0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电子病历各模块提供缺项必填字段数提醒与填写完整提示，还具备时间节点字段先后逻辑校验与提示。</w:t>
      </w:r>
    </w:p>
    <w:p w14:paraId="0148A32C">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提取患者关键诊疗时间节点生成时间轴，支持时间轴收起、展开等操作。</w:t>
      </w:r>
    </w:p>
    <w:p w14:paraId="2F0E57AB">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支持按照数据状态分别展示患者数据，并支持批量上报操作。</w:t>
      </w:r>
    </w:p>
    <w:p w14:paraId="455D247E">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支持自动计算并展示患者数据填报完整度，同时支持一键预览填写结果，方便自查是否符合上报要求。</w:t>
      </w:r>
    </w:p>
    <w:p w14:paraId="28585581">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支持查看已上报及上报失败的数据，并支持二次上报。</w:t>
      </w:r>
    </w:p>
    <w:p w14:paraId="11B8A933">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支持与国家创伤医学中心数据库进行上报对接。</w:t>
      </w:r>
    </w:p>
    <w:p w14:paraId="67B9D12E">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质控会议上报系统</w:t>
      </w:r>
    </w:p>
    <w:p w14:paraId="62BAD26E">
      <w:pPr>
        <w:keepNext w:val="0"/>
        <w:keepLines w:val="0"/>
        <w:pageBreakBefore w:val="0"/>
        <w:widowControl w:val="0"/>
        <w:numPr>
          <w:ilvl w:val="-1"/>
          <w:numId w:val="0"/>
        </w:numPr>
        <w:tabs>
          <w:tab w:val="left" w:pos="0"/>
        </w:tabs>
        <w:kinsoku/>
        <w:wordWrap/>
        <w:overflowPunct/>
        <w:topLinePunct w:val="0"/>
        <w:autoSpaceDE w:val="0"/>
        <w:autoSpaceDN w:val="0"/>
        <w:bidi w:val="0"/>
        <w:adjustRightInd/>
        <w:snapToGrid/>
        <w:spacing w:line="560" w:lineRule="exact"/>
        <w:ind w:left="420" w:leftChars="2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2.7.1.</w:t>
      </w:r>
      <w:r>
        <w:rPr>
          <w:rFonts w:hint="eastAsia" w:ascii="宋体" w:hAnsi="宋体" w:eastAsia="宋体" w:cs="宋体"/>
          <w:color w:val="auto"/>
          <w:sz w:val="24"/>
          <w:szCs w:val="24"/>
          <w:highlight w:val="none"/>
        </w:rPr>
        <w:t>支持在例会管理列表展示会议主题、开会日期、状态和操作信息。并支持快速筛选功能。</w:t>
      </w:r>
    </w:p>
    <w:p w14:paraId="48646474">
      <w:pPr>
        <w:keepNext w:val="0"/>
        <w:keepLines w:val="0"/>
        <w:pageBreakBefore w:val="0"/>
        <w:widowControl w:val="0"/>
        <w:numPr>
          <w:ilvl w:val="-1"/>
          <w:numId w:val="0"/>
        </w:numPr>
        <w:tabs>
          <w:tab w:val="left" w:pos="0"/>
        </w:tabs>
        <w:kinsoku/>
        <w:wordWrap/>
        <w:overflowPunct/>
        <w:topLinePunct w:val="0"/>
        <w:autoSpaceDE w:val="0"/>
        <w:autoSpaceDN w:val="0"/>
        <w:bidi w:val="0"/>
        <w:adjustRightInd/>
        <w:snapToGrid/>
        <w:spacing w:line="560" w:lineRule="exact"/>
        <w:ind w:left="420" w:leftChars="2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2.7.2.</w:t>
      </w:r>
      <w:r>
        <w:rPr>
          <w:rFonts w:hint="eastAsia" w:ascii="宋体" w:hAnsi="宋体" w:eastAsia="宋体" w:cs="宋体"/>
          <w:color w:val="auto"/>
          <w:sz w:val="24"/>
          <w:szCs w:val="24"/>
          <w:highlight w:val="none"/>
        </w:rPr>
        <w:t>支持对例会进行上报、新增、编辑和删除等操作。</w:t>
      </w:r>
    </w:p>
    <w:p w14:paraId="52ACD000">
      <w:pPr>
        <w:keepNext w:val="0"/>
        <w:keepLines w:val="0"/>
        <w:pageBreakBefore w:val="0"/>
        <w:widowControl w:val="0"/>
        <w:numPr>
          <w:ilvl w:val="-1"/>
          <w:numId w:val="0"/>
        </w:numPr>
        <w:tabs>
          <w:tab w:val="left" w:pos="0"/>
        </w:tabs>
        <w:kinsoku/>
        <w:wordWrap/>
        <w:overflowPunct/>
        <w:topLinePunct w:val="0"/>
        <w:autoSpaceDE w:val="0"/>
        <w:autoSpaceDN w:val="0"/>
        <w:bidi w:val="0"/>
        <w:adjustRightInd/>
        <w:snapToGrid/>
        <w:spacing w:line="560" w:lineRule="exact"/>
        <w:ind w:left="420" w:leftChars="2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2.7.3.</w:t>
      </w:r>
      <w:r>
        <w:rPr>
          <w:rFonts w:hint="eastAsia" w:ascii="宋体" w:hAnsi="宋体" w:eastAsia="宋体" w:cs="宋体"/>
          <w:color w:val="auto"/>
          <w:sz w:val="24"/>
          <w:szCs w:val="24"/>
          <w:highlight w:val="none"/>
        </w:rPr>
        <w:t>支持会议签到表和会议纪要模板下载。并支持上传会议照片、签到表和会议纪要。</w:t>
      </w:r>
    </w:p>
    <w:p w14:paraId="19646EF1">
      <w:pPr>
        <w:keepNext w:val="0"/>
        <w:keepLines w:val="0"/>
        <w:pageBreakBefore w:val="0"/>
        <w:widowControl w:val="0"/>
        <w:numPr>
          <w:ilvl w:val="-1"/>
          <w:numId w:val="0"/>
        </w:numPr>
        <w:tabs>
          <w:tab w:val="left" w:pos="0"/>
        </w:tabs>
        <w:kinsoku/>
        <w:wordWrap/>
        <w:overflowPunct/>
        <w:topLinePunct w:val="0"/>
        <w:autoSpaceDE w:val="0"/>
        <w:autoSpaceDN w:val="0"/>
        <w:bidi w:val="0"/>
        <w:adjustRightInd/>
        <w:snapToGrid/>
        <w:spacing w:line="560" w:lineRule="exact"/>
        <w:ind w:left="420" w:leftChars="2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2.7.4.</w:t>
      </w:r>
      <w:r>
        <w:rPr>
          <w:rFonts w:hint="eastAsia" w:ascii="宋体" w:hAnsi="宋体" w:eastAsia="宋体" w:cs="宋体"/>
          <w:color w:val="auto"/>
          <w:sz w:val="24"/>
          <w:szCs w:val="24"/>
          <w:highlight w:val="none"/>
        </w:rPr>
        <w:t>支持与国家创伤医学中心进行数据对接，完成例会上报。</w:t>
      </w:r>
    </w:p>
    <w:p w14:paraId="6DF6D91D">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质控管理系统</w:t>
      </w:r>
    </w:p>
    <w:p w14:paraId="38DE9F71">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一览展示19项创伤质控指标（《创伤中心医疗质量控制指标（试行）》），统计本院上周或特定时间段的质控指标。</w:t>
      </w:r>
    </w:p>
    <w:p w14:paraId="554B684F">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针对分钟计算结果类的指标，统计对应的平均值和中位数。</w:t>
      </w:r>
    </w:p>
    <w:p w14:paraId="2FB3A5A8">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支持统计指标与国家创伤医学中心的平均值、本医院所在省份平均值、本医院所在市平均值进行对比，对比结果支持高亮提示。</w:t>
      </w:r>
    </w:p>
    <w:p w14:paraId="2618B491">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支持将19项质控指标以图片或表格的形式导出。</w:t>
      </w:r>
    </w:p>
    <w:p w14:paraId="304029DF">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基本周报</w:t>
      </w:r>
    </w:p>
    <w:p w14:paraId="517954F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支持展示与统计分析患者上报数据，按规格呈现每周上报数据量及总体质量。</w:t>
      </w:r>
    </w:p>
    <w:p w14:paraId="36503E00">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支持在周报中展示全国排名和省排名。</w:t>
      </w:r>
    </w:p>
    <w:p w14:paraId="4FA38F49">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支持按年、月、周检索时间范围内的周报数据。</w:t>
      </w:r>
    </w:p>
    <w:p w14:paraId="2F5C0185">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支持查看历史不同周期周报的变化趋势，趋势图支持放大、下载、图标切换等功能。</w:t>
      </w:r>
    </w:p>
    <w:p w14:paraId="2B5085D4">
      <w:pPr>
        <w:keepNext w:val="0"/>
        <w:keepLines w:val="0"/>
        <w:pageBreakBefore w:val="0"/>
        <w:widowControl w:val="0"/>
        <w:numPr>
          <w:ilvl w:val="1"/>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预警记录</w:t>
      </w:r>
    </w:p>
    <w:p w14:paraId="0EA2BFF6">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支持查看历史预警记录、呼叫MDT记录、会诊记录。</w:t>
      </w:r>
    </w:p>
    <w:p w14:paraId="796CD85D">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支持对时效内的预警和历史呼叫记录进行操作；对时效外的呼叫MDT进行补签操作。</w:t>
      </w:r>
    </w:p>
    <w:p w14:paraId="3F248744">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支持查看历史记录的接听和签到状态。</w:t>
      </w:r>
    </w:p>
    <w:p w14:paraId="37B67479">
      <w:pPr>
        <w:keepNext w:val="0"/>
        <w:keepLines w:val="0"/>
        <w:pageBreakBefore w:val="0"/>
        <w:widowControl w:val="0"/>
        <w:numPr>
          <w:ilvl w:val="2"/>
          <w:numId w:val="1"/>
        </w:numPr>
        <w:kinsoku/>
        <w:wordWrap/>
        <w:overflowPunct/>
        <w:topLinePunct w:val="0"/>
        <w:autoSpaceDE w:val="0"/>
        <w:autoSpaceDN w:val="0"/>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支持填写音视频记录的会诊意见功能。</w:t>
      </w:r>
    </w:p>
    <w:p w14:paraId="6835226D">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二、售后运维服务</w:t>
      </w:r>
    </w:p>
    <w:p w14:paraId="0B2B76C2">
      <w:pPr>
        <w:keepNext w:val="0"/>
        <w:keepLines w:val="0"/>
        <w:pageBreakBefore w:val="0"/>
        <w:numPr>
          <w:ilvl w:val="0"/>
          <w:numId w:val="2"/>
        </w:numPr>
        <w:kinsoku/>
        <w:overflowPunct/>
        <w:topLinePunct w:val="0"/>
        <w:bidi w:val="0"/>
        <w:adjustRightInd/>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定期巡检、故障维保服务</w:t>
      </w:r>
      <w:r>
        <w:rPr>
          <w:rFonts w:hint="eastAsia" w:ascii="宋体" w:hAnsi="宋体" w:eastAsia="宋体" w:cs="宋体"/>
          <w:sz w:val="24"/>
          <w:szCs w:val="24"/>
          <w:lang w:eastAsia="zh-CN"/>
        </w:rPr>
        <w:t>：</w:t>
      </w:r>
    </w:p>
    <w:p w14:paraId="48E194FC">
      <w:pPr>
        <w:keepNext w:val="0"/>
        <w:keepLines w:val="0"/>
        <w:pageBreakBefore w:val="0"/>
        <w:numPr>
          <w:ilvl w:val="0"/>
          <w:numId w:val="3"/>
        </w:numPr>
        <w:kinsoku/>
        <w:overflowPunct/>
        <w:topLinePunct w:val="0"/>
        <w:bidi w:val="0"/>
        <w:adjustRightInd/>
        <w:spacing w:line="560" w:lineRule="exact"/>
        <w:ind w:firstLine="720"/>
        <w:textAlignment w:val="auto"/>
        <w:rPr>
          <w:rFonts w:hint="eastAsia" w:ascii="宋体" w:hAnsi="宋体" w:eastAsia="宋体" w:cs="宋体"/>
          <w:i w:val="0"/>
          <w:iCs w:val="0"/>
          <w:color w:val="auto"/>
          <w:spacing w:val="-2"/>
          <w:sz w:val="24"/>
          <w:szCs w:val="24"/>
          <w:highlight w:val="none"/>
        </w:rPr>
      </w:pPr>
      <w:r>
        <w:rPr>
          <w:rFonts w:hint="eastAsia" w:ascii="宋体" w:hAnsi="宋体" w:eastAsia="宋体" w:cs="宋体"/>
          <w:i w:val="0"/>
          <w:iCs w:val="0"/>
          <w:color w:val="auto"/>
          <w:spacing w:val="2"/>
          <w:sz w:val="24"/>
          <w:szCs w:val="24"/>
          <w:highlight w:val="none"/>
        </w:rPr>
        <w:t>提供7</w:t>
      </w:r>
      <w:r>
        <w:rPr>
          <w:rFonts w:hint="eastAsia" w:ascii="宋体" w:hAnsi="宋体" w:eastAsia="宋体" w:cs="宋体"/>
          <w:i w:val="0"/>
          <w:iCs w:val="0"/>
          <w:color w:val="auto"/>
          <w:spacing w:val="1"/>
          <w:sz w:val="24"/>
          <w:szCs w:val="24"/>
          <w:highlight w:val="none"/>
        </w:rPr>
        <w:t>×24小时服务。对于系统在使用过程中出</w:t>
      </w:r>
      <w:r>
        <w:rPr>
          <w:rFonts w:hint="eastAsia" w:ascii="宋体" w:hAnsi="宋体" w:eastAsia="宋体" w:cs="宋体"/>
          <w:i w:val="0"/>
          <w:iCs w:val="0"/>
          <w:color w:val="auto"/>
          <w:spacing w:val="-2"/>
          <w:sz w:val="24"/>
          <w:szCs w:val="24"/>
          <w:highlight w:val="none"/>
        </w:rPr>
        <w:t>现的问题，在30分钟内</w:t>
      </w:r>
      <w:r>
        <w:rPr>
          <w:rFonts w:hint="eastAsia" w:ascii="宋体" w:hAnsi="宋体" w:eastAsia="宋体" w:cs="宋体"/>
          <w:i w:val="0"/>
          <w:iCs w:val="0"/>
          <w:color w:val="auto"/>
          <w:spacing w:val="-2"/>
          <w:sz w:val="24"/>
          <w:szCs w:val="24"/>
          <w:highlight w:val="none"/>
          <w:lang w:val="en-US" w:eastAsia="zh-CN"/>
        </w:rPr>
        <w:t>远程</w:t>
      </w:r>
      <w:r>
        <w:rPr>
          <w:rFonts w:hint="eastAsia" w:ascii="宋体" w:hAnsi="宋体" w:eastAsia="宋体" w:cs="宋体"/>
          <w:i w:val="0"/>
          <w:iCs w:val="0"/>
          <w:color w:val="auto"/>
          <w:spacing w:val="-2"/>
          <w:sz w:val="24"/>
          <w:szCs w:val="24"/>
          <w:highlight w:val="none"/>
        </w:rPr>
        <w:t>响应。如遇与所供产品有关的问题无法远程解决的，在接用户通</w:t>
      </w:r>
      <w:r>
        <w:rPr>
          <w:rFonts w:hint="eastAsia" w:ascii="宋体" w:hAnsi="宋体" w:eastAsia="宋体" w:cs="宋体"/>
          <w:i w:val="0"/>
          <w:iCs w:val="0"/>
          <w:color w:val="auto"/>
          <w:spacing w:val="-1"/>
          <w:sz w:val="24"/>
          <w:szCs w:val="24"/>
          <w:highlight w:val="none"/>
        </w:rPr>
        <w:t>知后4小时赶到现场提供免费服务。4小时内未解决</w:t>
      </w:r>
      <w:r>
        <w:rPr>
          <w:rFonts w:hint="eastAsia" w:ascii="宋体" w:hAnsi="宋体" w:eastAsia="宋体" w:cs="宋体"/>
          <w:i w:val="0"/>
          <w:iCs w:val="0"/>
          <w:color w:val="auto"/>
          <w:spacing w:val="-1"/>
          <w:sz w:val="24"/>
          <w:szCs w:val="24"/>
          <w:highlight w:val="none"/>
          <w:lang w:val="en-US" w:eastAsia="zh-CN"/>
        </w:rPr>
        <w:t>问题时</w:t>
      </w:r>
      <w:r>
        <w:rPr>
          <w:rFonts w:hint="eastAsia" w:ascii="宋体" w:hAnsi="宋体" w:eastAsia="宋体" w:cs="宋体"/>
          <w:i w:val="0"/>
          <w:iCs w:val="0"/>
          <w:color w:val="auto"/>
          <w:spacing w:val="-1"/>
          <w:sz w:val="24"/>
          <w:szCs w:val="24"/>
          <w:highlight w:val="none"/>
        </w:rPr>
        <w:t>提供详细的应急解</w:t>
      </w:r>
      <w:r>
        <w:rPr>
          <w:rFonts w:hint="eastAsia" w:ascii="宋体" w:hAnsi="宋体" w:eastAsia="宋体" w:cs="宋体"/>
          <w:i w:val="0"/>
          <w:iCs w:val="0"/>
          <w:color w:val="auto"/>
          <w:spacing w:val="-2"/>
          <w:sz w:val="24"/>
          <w:szCs w:val="24"/>
          <w:highlight w:val="none"/>
        </w:rPr>
        <w:t>决方案。</w:t>
      </w:r>
    </w:p>
    <w:p w14:paraId="2374DFC8">
      <w:pPr>
        <w:keepNext w:val="0"/>
        <w:keepLines w:val="0"/>
        <w:pageBreakBefore w:val="0"/>
        <w:numPr>
          <w:ilvl w:val="0"/>
          <w:numId w:val="3"/>
        </w:numPr>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记录日常定期维护工作的进行情况和日常维护后给用户的维护报告及使用建议报告。每次巡检后，将提交相应的巡检报告；每次远程轮巡后，将向有问题的相关用户提交问题解答报告。</w:t>
      </w:r>
    </w:p>
    <w:p w14:paraId="0624756F">
      <w:pPr>
        <w:keepNext w:val="0"/>
        <w:keepLines w:val="0"/>
        <w:pageBreakBefore w:val="0"/>
        <w:numPr>
          <w:ilvl w:val="0"/>
          <w:numId w:val="2"/>
        </w:numPr>
        <w:kinsoku/>
        <w:overflowPunct/>
        <w:topLinePunct w:val="0"/>
        <w:bidi w:val="0"/>
        <w:adjustRightInd/>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系统改造升级服务</w:t>
      </w:r>
      <w:r>
        <w:rPr>
          <w:rFonts w:hint="eastAsia" w:ascii="宋体" w:hAnsi="宋体" w:eastAsia="宋体" w:cs="宋体"/>
          <w:sz w:val="24"/>
          <w:szCs w:val="24"/>
          <w:lang w:eastAsia="zh-CN"/>
        </w:rPr>
        <w:t>：</w:t>
      </w:r>
    </w:p>
    <w:p w14:paraId="7630438C">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1、根据医院具体需求，不定期提供小版本升级服务。</w:t>
      </w:r>
    </w:p>
    <w:p w14:paraId="298EF371">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2、包含工作量在12个工作日以内的需求变更和系统优化改造。如果需求量过多，开发时间过长，双方可协商处理。</w:t>
      </w:r>
    </w:p>
    <w:p w14:paraId="584C9318">
      <w:pPr>
        <w:keepNext w:val="0"/>
        <w:keepLines w:val="0"/>
        <w:pageBreakBefore w:val="0"/>
        <w:numPr>
          <w:ilvl w:val="0"/>
          <w:numId w:val="2"/>
        </w:numPr>
        <w:kinsoku/>
        <w:overflowPunct/>
        <w:topLinePunct w:val="0"/>
        <w:bidi w:val="0"/>
        <w:adjustRightInd/>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数据服务</w:t>
      </w:r>
      <w:r>
        <w:rPr>
          <w:rFonts w:hint="eastAsia" w:ascii="宋体" w:hAnsi="宋体" w:eastAsia="宋体" w:cs="宋体"/>
          <w:sz w:val="24"/>
          <w:szCs w:val="24"/>
          <w:lang w:eastAsia="zh-CN"/>
        </w:rPr>
        <w:t>：</w:t>
      </w:r>
    </w:p>
    <w:p w14:paraId="601741EE">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1、配合国家、政府及上级管理部门要求的医院管理数据进行上报。</w:t>
      </w:r>
    </w:p>
    <w:p w14:paraId="74D3A97D">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2、配合对系统内存在的数据进行导入、导出、数据迁移工作。</w:t>
      </w:r>
    </w:p>
    <w:p w14:paraId="673CB408">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3、负责由本系统产生、使用的数据备份工作。</w:t>
      </w:r>
    </w:p>
    <w:p w14:paraId="4D019220">
      <w:pPr>
        <w:keepNext w:val="0"/>
        <w:keepLines w:val="0"/>
        <w:pageBreakBefore w:val="0"/>
        <w:numPr>
          <w:ilvl w:val="0"/>
          <w:numId w:val="2"/>
        </w:numPr>
        <w:kinsoku/>
        <w:overflowPunct/>
        <w:topLinePunct w:val="0"/>
        <w:bidi w:val="0"/>
        <w:adjustRightInd/>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安全要求</w:t>
      </w:r>
      <w:r>
        <w:rPr>
          <w:rFonts w:hint="eastAsia" w:ascii="宋体" w:hAnsi="宋体" w:eastAsia="宋体" w:cs="宋体"/>
          <w:sz w:val="24"/>
          <w:szCs w:val="24"/>
          <w:lang w:eastAsia="zh-CN"/>
        </w:rPr>
        <w:t>：</w:t>
      </w:r>
    </w:p>
    <w:p w14:paraId="7D6F2E92">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1、满足国家、政府及上级管理部门的信息安全要求；满足信息安全标准。</w:t>
      </w:r>
    </w:p>
    <w:p w14:paraId="368D7205">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zh-CN"/>
        </w:rPr>
        <w:t>、配合医院各类信息安全检查工作。</w:t>
      </w:r>
    </w:p>
    <w:p w14:paraId="7E011314">
      <w:pPr>
        <w:keepNext w:val="0"/>
        <w:keepLines w:val="0"/>
        <w:pageBreakBefore w:val="0"/>
        <w:numPr>
          <w:ilvl w:val="0"/>
          <w:numId w:val="2"/>
        </w:numPr>
        <w:kinsoku/>
        <w:overflowPunct/>
        <w:topLinePunct w:val="0"/>
        <w:bidi w:val="0"/>
        <w:adjustRightInd/>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技术支持服务</w:t>
      </w:r>
    </w:p>
    <w:p w14:paraId="4A69D13D">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1、对业务科室操作或信息科维护进行答疑。</w:t>
      </w:r>
    </w:p>
    <w:p w14:paraId="6FB5A0D8">
      <w:pPr>
        <w:keepNext w:val="0"/>
        <w:keepLines w:val="0"/>
        <w:pageBreakBefore w:val="0"/>
        <w:kinsoku/>
        <w:overflowPunct/>
        <w:topLinePunct w:val="0"/>
        <w:bidi w:val="0"/>
        <w:adjustRightInd/>
        <w:spacing w:line="560" w:lineRule="exact"/>
        <w:ind w:firstLine="720"/>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2、提供7</w:t>
      </w:r>
      <w:r>
        <w:rPr>
          <w:rFonts w:hint="eastAsia" w:ascii="宋体" w:hAnsi="宋体" w:eastAsia="宋体" w:cs="宋体"/>
          <w:sz w:val="24"/>
          <w:szCs w:val="24"/>
          <w:lang w:val="en-US" w:eastAsia="zh-CN"/>
        </w:rPr>
        <w:t>×24</w:t>
      </w:r>
      <w:r>
        <w:rPr>
          <w:rFonts w:hint="eastAsia" w:ascii="宋体" w:hAnsi="宋体" w:eastAsia="宋体" w:cs="宋体"/>
          <w:sz w:val="24"/>
          <w:szCs w:val="24"/>
          <w:lang w:val="zh-CN"/>
        </w:rPr>
        <w:t>小时的远程、电话、</w:t>
      </w:r>
      <w:r>
        <w:rPr>
          <w:rFonts w:hint="eastAsia" w:ascii="宋体" w:hAnsi="宋体" w:eastAsia="宋体" w:cs="宋体"/>
          <w:sz w:val="24"/>
          <w:szCs w:val="24"/>
          <w:lang w:val="en-US" w:eastAsia="zh-CN"/>
        </w:rPr>
        <w:t>微信群聊解答</w:t>
      </w:r>
      <w:r>
        <w:rPr>
          <w:rFonts w:hint="eastAsia" w:ascii="宋体" w:hAnsi="宋体" w:eastAsia="宋体" w:cs="宋体"/>
          <w:sz w:val="24"/>
          <w:szCs w:val="24"/>
          <w:lang w:val="zh-CN"/>
        </w:rPr>
        <w:t>等技术支持服务。</w:t>
      </w:r>
    </w:p>
    <w:p w14:paraId="15407307">
      <w:pPr>
        <w:pStyle w:val="9"/>
        <w:keepNext w:val="0"/>
        <w:keepLines w:val="0"/>
        <w:pageBreakBefore w:val="0"/>
        <w:kinsoku/>
        <w:overflowPunct/>
        <w:topLinePunct w:val="0"/>
        <w:bidi w:val="0"/>
        <w:adjustRightInd/>
        <w:spacing w:line="560" w:lineRule="exact"/>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3、操作培训：对业务科室现场培训不少于</w:t>
      </w:r>
      <w:r>
        <w:rPr>
          <w:rFonts w:hint="eastAsia" w:ascii="宋体" w:hAnsi="宋体" w:eastAsia="宋体" w:cs="宋体"/>
          <w:sz w:val="24"/>
          <w:szCs w:val="24"/>
          <w:lang w:val="en-US" w:eastAsia="zh-CN"/>
        </w:rPr>
        <w:t>1</w:t>
      </w:r>
      <w:r>
        <w:rPr>
          <w:rFonts w:hint="eastAsia" w:ascii="宋体" w:hAnsi="宋体" w:eastAsia="宋体" w:cs="宋体"/>
          <w:sz w:val="24"/>
          <w:szCs w:val="24"/>
          <w:lang w:val="zh-CN"/>
        </w:rPr>
        <w:t>次，达到业务科室可以独立使用软件功能，提供操作手册、培训记录、培训资料</w:t>
      </w:r>
      <w:r>
        <w:rPr>
          <w:rFonts w:hint="eastAsia" w:ascii="宋体" w:hAnsi="宋体" w:eastAsia="宋体" w:cs="宋体"/>
          <w:sz w:val="24"/>
          <w:szCs w:val="24"/>
          <w:lang w:val="en-US" w:eastAsia="zh-CN"/>
        </w:rPr>
        <w:t>等</w:t>
      </w:r>
      <w:r>
        <w:rPr>
          <w:rFonts w:hint="eastAsia" w:ascii="宋体" w:hAnsi="宋体" w:eastAsia="宋体" w:cs="宋体"/>
          <w:sz w:val="24"/>
          <w:szCs w:val="24"/>
          <w:lang w:val="zh-CN"/>
        </w:rPr>
        <w:t>。</w:t>
      </w:r>
    </w:p>
    <w:p w14:paraId="61414C11">
      <w:pPr>
        <w:pStyle w:val="9"/>
        <w:keepNext w:val="0"/>
        <w:keepLines w:val="0"/>
        <w:pageBreakBefore w:val="0"/>
        <w:kinsoku/>
        <w:overflowPunct/>
        <w:topLinePunct w:val="0"/>
        <w:bidi w:val="0"/>
        <w:adjustRightIn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三、服务期：3年</w:t>
      </w:r>
    </w:p>
    <w:p w14:paraId="2599C10D">
      <w:pPr>
        <w:pStyle w:val="9"/>
        <w:keepNext w:val="0"/>
        <w:keepLines w:val="0"/>
        <w:pageBreakBefore w:val="0"/>
        <w:kinsoku/>
        <w:overflowPunct/>
        <w:topLinePunct w:val="0"/>
        <w:bidi w:val="0"/>
        <w:adjustRightInd/>
        <w:spacing w:line="56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四、报价表</w:t>
      </w:r>
    </w:p>
    <w:p w14:paraId="40DA6F36">
      <w:pPr>
        <w:keepNext w:val="0"/>
        <w:keepLines w:val="0"/>
        <w:pageBreakBefore w:val="0"/>
        <w:kinsoku/>
        <w:wordWrap w:val="0"/>
        <w:overflowPunct/>
        <w:topLinePunct w:val="0"/>
        <w:bidi w:val="0"/>
        <w:adjustRightInd/>
        <w:spacing w:line="560" w:lineRule="exact"/>
        <w:ind w:right="-283" w:rightChars="-135"/>
        <w:jc w:val="right"/>
        <w:textAlignment w:val="auto"/>
        <w:rPr>
          <w:rFonts w:ascii="Arial" w:hAnsi="Arial" w:eastAsia="仿宋_GB2312" w:cs="Arial"/>
          <w:sz w:val="24"/>
          <w:szCs w:val="24"/>
        </w:rPr>
      </w:pPr>
      <w:r>
        <w:rPr>
          <w:rFonts w:hint="eastAsia" w:ascii="Arial" w:hAnsi="Arial" w:eastAsia="仿宋_GB2312" w:cs="Arial"/>
          <w:sz w:val="28"/>
          <w:szCs w:val="28"/>
        </w:rPr>
        <w:t xml:space="preserve">  </w:t>
      </w:r>
      <w:r>
        <w:rPr>
          <w:rFonts w:ascii="Arial" w:hAnsi="Arial" w:eastAsia="仿宋_GB2312" w:cs="Arial"/>
          <w:sz w:val="24"/>
          <w:szCs w:val="24"/>
        </w:rPr>
        <w:t>单位：元（人民币）</w:t>
      </w:r>
    </w:p>
    <w:tbl>
      <w:tblPr>
        <w:tblStyle w:val="6"/>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9"/>
        <w:gridCol w:w="1786"/>
        <w:gridCol w:w="1246"/>
        <w:gridCol w:w="1357"/>
      </w:tblGrid>
      <w:tr w14:paraId="2618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522" w:type="pct"/>
            <w:vAlign w:val="center"/>
          </w:tcPr>
          <w:p w14:paraId="038FD2FB">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b/>
                <w:sz w:val="32"/>
                <w:szCs w:val="32"/>
              </w:rPr>
            </w:pPr>
            <w:r>
              <w:rPr>
                <w:rFonts w:hint="eastAsia" w:ascii="宋体" w:hAnsi="宋体" w:eastAsia="宋体" w:cs="宋体"/>
                <w:b/>
                <w:sz w:val="32"/>
                <w:szCs w:val="32"/>
              </w:rPr>
              <w:t>项  目</w:t>
            </w:r>
          </w:p>
        </w:tc>
        <w:tc>
          <w:tcPr>
            <w:tcW w:w="1008" w:type="pct"/>
            <w:vAlign w:val="center"/>
          </w:tcPr>
          <w:p w14:paraId="058FA2D0">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报</w:t>
            </w:r>
            <w:r>
              <w:rPr>
                <w:rFonts w:hint="eastAsia" w:ascii="宋体" w:hAnsi="宋体" w:eastAsia="宋体" w:cs="宋体"/>
                <w:b/>
                <w:sz w:val="28"/>
                <w:szCs w:val="28"/>
              </w:rPr>
              <w:t>价</w:t>
            </w:r>
          </w:p>
        </w:tc>
        <w:tc>
          <w:tcPr>
            <w:tcW w:w="703" w:type="pct"/>
            <w:vAlign w:val="center"/>
          </w:tcPr>
          <w:p w14:paraId="367B5287">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服务期</w:t>
            </w:r>
          </w:p>
        </w:tc>
        <w:tc>
          <w:tcPr>
            <w:tcW w:w="765" w:type="pct"/>
            <w:vAlign w:val="center"/>
          </w:tcPr>
          <w:p w14:paraId="7AA05094">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b/>
                <w:sz w:val="32"/>
                <w:szCs w:val="32"/>
              </w:rPr>
            </w:pPr>
            <w:r>
              <w:rPr>
                <w:rFonts w:hint="eastAsia" w:ascii="宋体" w:hAnsi="宋体" w:eastAsia="宋体" w:cs="宋体"/>
                <w:b/>
                <w:sz w:val="32"/>
                <w:szCs w:val="32"/>
              </w:rPr>
              <w:t>备  注</w:t>
            </w:r>
          </w:p>
        </w:tc>
      </w:tr>
      <w:tr w14:paraId="57D4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522" w:type="pct"/>
            <w:vAlign w:val="center"/>
          </w:tcPr>
          <w:p w14:paraId="519C1D16">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b/>
                <w:color w:val="000000"/>
                <w:szCs w:val="21"/>
                <w:lang w:val="en-US" w:eastAsia="zh-CN"/>
              </w:rPr>
            </w:pPr>
            <w:r>
              <w:rPr>
                <w:rFonts w:hint="eastAsia" w:ascii="宋体" w:hAnsi="宋体" w:eastAsia="宋体" w:cs="宋体"/>
                <w:b/>
                <w:color w:val="000000"/>
                <w:szCs w:val="21"/>
                <w:lang w:val="en-US" w:eastAsia="zh-CN"/>
              </w:rPr>
              <w:t>全国严重创伤信息交互联动系统维保服务项目</w:t>
            </w:r>
          </w:p>
        </w:tc>
        <w:tc>
          <w:tcPr>
            <w:tcW w:w="1008" w:type="pct"/>
            <w:vAlign w:val="center"/>
          </w:tcPr>
          <w:p w14:paraId="1B1BF619">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color w:val="000000"/>
                <w:szCs w:val="21"/>
              </w:rPr>
            </w:pPr>
          </w:p>
        </w:tc>
        <w:tc>
          <w:tcPr>
            <w:tcW w:w="703" w:type="pct"/>
            <w:vAlign w:val="center"/>
          </w:tcPr>
          <w:p w14:paraId="12D0D2A3">
            <w:pPr>
              <w:keepNext w:val="0"/>
              <w:keepLines w:val="0"/>
              <w:pageBreakBefore w:val="0"/>
              <w:kinsoku/>
              <w:overflowPunct/>
              <w:topLinePunct w:val="0"/>
              <w:bidi w:val="0"/>
              <w:adjustRightInd/>
              <w:spacing w:line="560" w:lineRule="exact"/>
              <w:jc w:val="center"/>
              <w:textAlignment w:val="auto"/>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3年</w:t>
            </w:r>
          </w:p>
        </w:tc>
        <w:tc>
          <w:tcPr>
            <w:tcW w:w="765" w:type="pct"/>
            <w:vAlign w:val="center"/>
          </w:tcPr>
          <w:p w14:paraId="0C8DC397">
            <w:pPr>
              <w:keepNext w:val="0"/>
              <w:keepLines w:val="0"/>
              <w:pageBreakBefore w:val="0"/>
              <w:kinsoku/>
              <w:overflowPunct/>
              <w:topLinePunct w:val="0"/>
              <w:bidi w:val="0"/>
              <w:adjustRightInd/>
              <w:spacing w:line="560" w:lineRule="exact"/>
              <w:jc w:val="center"/>
              <w:textAlignment w:val="auto"/>
              <w:rPr>
                <w:rFonts w:hint="eastAsia" w:ascii="宋体" w:hAnsi="宋体" w:eastAsia="宋体" w:cs="宋体"/>
                <w:color w:val="000000"/>
                <w:szCs w:val="21"/>
              </w:rPr>
            </w:pPr>
          </w:p>
        </w:tc>
      </w:tr>
    </w:tbl>
    <w:p w14:paraId="6AD4B668">
      <w:pPr>
        <w:keepNext w:val="0"/>
        <w:keepLines w:val="0"/>
        <w:pageBreakBefore w:val="0"/>
        <w:widowControl/>
        <w:kinsoku/>
        <w:overflowPunct/>
        <w:topLinePunct w:val="0"/>
        <w:bidi w:val="0"/>
        <w:adjustRightInd/>
        <w:spacing w:line="560" w:lineRule="exact"/>
        <w:ind w:left="0" w:leftChars="0" w:right="0" w:firstLine="0" w:firstLineChars="0"/>
        <w:jc w:val="right"/>
        <w:textAlignment w:val="auto"/>
        <w:rPr>
          <w:rFonts w:ascii="Arial" w:hAnsi="Arial" w:eastAsia="仿宋_GB2312" w:cs="Arial"/>
          <w:b/>
          <w:szCs w:val="21"/>
        </w:rPr>
      </w:pPr>
    </w:p>
    <w:p w14:paraId="17913D0A">
      <w:pPr>
        <w:keepNext w:val="0"/>
        <w:keepLines w:val="0"/>
        <w:pageBreakBefore w:val="0"/>
        <w:widowControl/>
        <w:kinsoku/>
        <w:wordWrap/>
        <w:overflowPunct/>
        <w:topLinePunct w:val="0"/>
        <w:bidi w:val="0"/>
        <w:adjustRightInd/>
        <w:spacing w:line="560" w:lineRule="exact"/>
        <w:ind w:left="0" w:leftChars="0" w:right="0" w:firstLine="0" w:firstLineChars="0"/>
        <w:jc w:val="left"/>
        <w:textAlignment w:val="auto"/>
        <w:rPr>
          <w:rFonts w:hint="eastAsia"/>
          <w:sz w:val="24"/>
          <w:szCs w:val="24"/>
          <w:lang w:val="en-US" w:eastAsia="zh-CN"/>
        </w:rPr>
      </w:pPr>
      <w:r>
        <w:rPr>
          <w:rFonts w:hint="eastAsia" w:ascii="Arial" w:hAnsi="Arial" w:cs="Arial"/>
          <w:b/>
          <w:sz w:val="24"/>
          <w:szCs w:val="24"/>
          <w:lang w:val="en-US" w:eastAsia="zh-CN"/>
        </w:rPr>
        <w:t>供应商名称：</w:t>
      </w:r>
    </w:p>
    <w:p w14:paraId="5AA9D2AA">
      <w:pPr>
        <w:keepNext w:val="0"/>
        <w:keepLines w:val="0"/>
        <w:pageBreakBefore w:val="0"/>
        <w:widowControl/>
        <w:kinsoku/>
        <w:wordWrap/>
        <w:overflowPunct/>
        <w:topLinePunct w:val="0"/>
        <w:bidi w:val="0"/>
        <w:adjustRightInd/>
        <w:spacing w:line="560" w:lineRule="exact"/>
        <w:ind w:right="-285"/>
        <w:jc w:val="left"/>
        <w:textAlignment w:val="auto"/>
        <w:rPr>
          <w:rFonts w:hint="eastAsia" w:ascii="Arial" w:hAnsi="Arial" w:cs="Arial"/>
          <w:b/>
          <w:sz w:val="24"/>
          <w:szCs w:val="24"/>
          <w:lang w:val="en-US" w:eastAsia="zh-CN"/>
        </w:rPr>
      </w:pPr>
      <w:r>
        <w:rPr>
          <w:rFonts w:hint="eastAsia" w:ascii="Arial" w:hAnsi="Arial" w:cs="Arial"/>
          <w:b/>
          <w:sz w:val="24"/>
          <w:szCs w:val="24"/>
          <w:lang w:val="en-US" w:eastAsia="zh-CN"/>
        </w:rPr>
        <w:t xml:space="preserve">联系人：                                                           </w:t>
      </w:r>
    </w:p>
    <w:p w14:paraId="58DDDED6">
      <w:pPr>
        <w:keepNext w:val="0"/>
        <w:keepLines w:val="0"/>
        <w:pageBreakBefore w:val="0"/>
        <w:widowControl/>
        <w:kinsoku/>
        <w:wordWrap/>
        <w:overflowPunct/>
        <w:topLinePunct w:val="0"/>
        <w:bidi w:val="0"/>
        <w:adjustRightInd/>
        <w:spacing w:line="560" w:lineRule="exact"/>
        <w:ind w:right="-285"/>
        <w:jc w:val="left"/>
        <w:textAlignment w:val="auto"/>
        <w:rPr>
          <w:rFonts w:hint="eastAsia" w:ascii="Arial" w:hAnsi="Arial" w:cs="Arial"/>
          <w:b/>
          <w:sz w:val="24"/>
          <w:szCs w:val="24"/>
          <w:lang w:val="en-US" w:eastAsia="zh-CN"/>
        </w:rPr>
      </w:pPr>
      <w:r>
        <w:rPr>
          <w:rFonts w:hint="eastAsia" w:ascii="Arial" w:hAnsi="Arial" w:cs="Arial"/>
          <w:b/>
          <w:sz w:val="24"/>
          <w:szCs w:val="24"/>
          <w:lang w:val="en-US" w:eastAsia="zh-CN"/>
        </w:rPr>
        <w:t>联系方式：</w:t>
      </w:r>
    </w:p>
    <w:p w14:paraId="1074D388">
      <w:pPr>
        <w:keepNext w:val="0"/>
        <w:keepLines w:val="0"/>
        <w:pageBreakBefore w:val="0"/>
        <w:widowControl/>
        <w:kinsoku/>
        <w:wordWrap/>
        <w:overflowPunct/>
        <w:topLinePunct w:val="0"/>
        <w:bidi w:val="0"/>
        <w:adjustRightInd/>
        <w:spacing w:line="560" w:lineRule="exact"/>
        <w:ind w:right="-285"/>
        <w:jc w:val="left"/>
        <w:textAlignment w:val="auto"/>
        <w:rPr>
          <w:rFonts w:hint="default" w:ascii="Arial" w:hAnsi="Arial" w:cs="Arial"/>
          <w:b/>
          <w:sz w:val="24"/>
          <w:szCs w:val="24"/>
          <w:lang w:val="en-US" w:eastAsia="zh-CN"/>
        </w:rPr>
      </w:pPr>
      <w:r>
        <w:rPr>
          <w:rFonts w:hint="eastAsia" w:ascii="Arial" w:hAnsi="Arial" w:cs="Arial"/>
          <w:b/>
          <w:sz w:val="24"/>
          <w:szCs w:val="24"/>
          <w:lang w:val="en-US" w:eastAsia="zh-CN"/>
        </w:rPr>
        <w:t>日    期：</w:t>
      </w:r>
    </w:p>
    <w:p w14:paraId="120AE790">
      <w:pPr>
        <w:pStyle w:val="9"/>
        <w:keepNext w:val="0"/>
        <w:keepLines w:val="0"/>
        <w:pageBreakBefore w:val="0"/>
        <w:kinsoku/>
        <w:overflowPunct/>
        <w:topLinePunct w:val="0"/>
        <w:bidi w:val="0"/>
        <w:adjustRightInd/>
        <w:spacing w:line="560" w:lineRule="exact"/>
        <w:textAlignment w:val="auto"/>
        <w:rPr>
          <w:rFonts w:hint="default" w:ascii="宋体" w:hAnsi="宋体" w:eastAsia="宋体" w:cs="宋体"/>
          <w:sz w:val="24"/>
          <w:szCs w:val="24"/>
          <w:lang w:val="en-US" w:eastAsia="zh-CN"/>
        </w:rPr>
      </w:pPr>
    </w:p>
    <w:p w14:paraId="366DA807">
      <w:pPr>
        <w:keepNext w:val="0"/>
        <w:keepLines w:val="0"/>
        <w:pageBreakBefore w:val="0"/>
        <w:kinsoku/>
        <w:overflowPunct/>
        <w:topLinePunct w:val="0"/>
        <w:bidi w:val="0"/>
        <w:adjustRightInd/>
        <w:spacing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A57E7"/>
    <w:multiLevelType w:val="singleLevel"/>
    <w:tmpl w:val="828A57E7"/>
    <w:lvl w:ilvl="0" w:tentative="0">
      <w:start w:val="1"/>
      <w:numFmt w:val="decimal"/>
      <w:suff w:val="nothing"/>
      <w:lvlText w:val="（%1）"/>
      <w:lvlJc w:val="left"/>
    </w:lvl>
  </w:abstractNum>
  <w:abstractNum w:abstractNumId="1">
    <w:nsid w:val="A35144AB"/>
    <w:multiLevelType w:val="singleLevel"/>
    <w:tmpl w:val="A35144AB"/>
    <w:lvl w:ilvl="0" w:tentative="0">
      <w:start w:val="1"/>
      <w:numFmt w:val="decimal"/>
      <w:suff w:val="nothing"/>
      <w:lvlText w:val="%1、"/>
      <w:lvlJc w:val="left"/>
    </w:lvl>
  </w:abstractNum>
  <w:abstractNum w:abstractNumId="2">
    <w:nsid w:val="6E9F7750"/>
    <w:multiLevelType w:val="multilevel"/>
    <w:tmpl w:val="6E9F7750"/>
    <w:lvl w:ilvl="0" w:tentative="0">
      <w:start w:val="1"/>
      <w:numFmt w:val="decimal"/>
      <w:suff w:val="space"/>
      <w:lvlText w:val="%1."/>
      <w:lvlJc w:val="left"/>
      <w:pPr>
        <w:tabs>
          <w:tab w:val="left" w:pos="0"/>
        </w:tabs>
        <w:ind w:left="0" w:firstLine="0"/>
      </w:pPr>
      <w:rPr>
        <w:rFonts w:hint="default"/>
      </w:rPr>
    </w:lvl>
    <w:lvl w:ilvl="1" w:tentative="0">
      <w:start w:val="1"/>
      <w:numFmt w:val="decimal"/>
      <w:suff w:val="space"/>
      <w:lvlText w:val="%1.%2."/>
      <w:lvlJc w:val="left"/>
      <w:pPr>
        <w:tabs>
          <w:tab w:val="left" w:pos="0"/>
        </w:tabs>
        <w:ind w:left="0" w:firstLine="0"/>
      </w:pPr>
      <w:rPr>
        <w:rFonts w:hint="default"/>
      </w:rPr>
    </w:lvl>
    <w:lvl w:ilvl="2" w:tentative="0">
      <w:start w:val="1"/>
      <w:numFmt w:val="decimal"/>
      <w:suff w:val="space"/>
      <w:lvlText w:val="%1.%2.%3."/>
      <w:lvlJc w:val="left"/>
      <w:pPr>
        <w:tabs>
          <w:tab w:val="left" w:pos="0"/>
        </w:tabs>
        <w:ind w:left="0" w:firstLine="0"/>
      </w:pPr>
      <w:rPr>
        <w:rFonts w:hint="default"/>
      </w:rPr>
    </w:lvl>
    <w:lvl w:ilvl="3" w:tentative="0">
      <w:start w:val="1"/>
      <w:numFmt w:val="decimal"/>
      <w:suff w:val="space"/>
      <w:lvlText w:val="%1.%2.%3.%4."/>
      <w:lvlJc w:val="left"/>
      <w:pPr>
        <w:tabs>
          <w:tab w:val="left" w:pos="0"/>
        </w:tabs>
        <w:ind w:left="0" w:firstLine="0"/>
      </w:pPr>
      <w:rPr>
        <w:rFonts w:hint="default"/>
      </w:rPr>
    </w:lvl>
    <w:lvl w:ilvl="4" w:tentative="0">
      <w:start w:val="1"/>
      <w:numFmt w:val="decimal"/>
      <w:suff w:val="space"/>
      <w:lvlText w:val="%1.%2.%3.%4.%5."/>
      <w:lvlJc w:val="left"/>
      <w:pPr>
        <w:tabs>
          <w:tab w:val="left" w:pos="0"/>
        </w:tabs>
        <w:ind w:left="0" w:firstLine="0"/>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wNzA3ZWYyNTM1ZjZjYTA5MWY3YjYyMTJjNjUzMmEifQ=="/>
  </w:docVars>
  <w:rsids>
    <w:rsidRoot w:val="619B6D38"/>
    <w:rsid w:val="03776391"/>
    <w:rsid w:val="058916A3"/>
    <w:rsid w:val="08A60D0C"/>
    <w:rsid w:val="0BEB139D"/>
    <w:rsid w:val="10B056C7"/>
    <w:rsid w:val="17017AA4"/>
    <w:rsid w:val="1CFA7BC8"/>
    <w:rsid w:val="1EA913DC"/>
    <w:rsid w:val="283B02D1"/>
    <w:rsid w:val="2C372028"/>
    <w:rsid w:val="2F02672D"/>
    <w:rsid w:val="37773A90"/>
    <w:rsid w:val="41585E24"/>
    <w:rsid w:val="4B50680B"/>
    <w:rsid w:val="541A197F"/>
    <w:rsid w:val="619B6D38"/>
    <w:rsid w:val="66A0179F"/>
    <w:rsid w:val="6CD4115D"/>
    <w:rsid w:val="6D5A4A8F"/>
    <w:rsid w:val="6E445903"/>
    <w:rsid w:val="71B647FB"/>
    <w:rsid w:val="768B244C"/>
    <w:rsid w:val="78D77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after="120"/>
    </w:pPr>
    <w:rPr>
      <w:szCs w:val="24"/>
    </w:rPr>
  </w:style>
  <w:style w:type="paragraph" w:styleId="4">
    <w:name w:val="Body Text Indent"/>
    <w:basedOn w:val="1"/>
    <w:qFormat/>
    <w:uiPriority w:val="0"/>
    <w:pPr>
      <w:ind w:left="210"/>
    </w:pPr>
    <w:rPr>
      <w:rFonts w:ascii="仿宋_GB2312" w:eastAsia="仿宋_GB2312"/>
      <w:sz w:val="18"/>
    </w:rPr>
  </w:style>
  <w:style w:type="paragraph" w:styleId="5">
    <w:name w:val="index 4"/>
    <w:basedOn w:val="1"/>
    <w:next w:val="1"/>
    <w:unhideWhenUsed/>
    <w:qFormat/>
    <w:uiPriority w:val="99"/>
    <w:pPr>
      <w:ind w:left="600" w:leftChars="600"/>
    </w:pPr>
  </w:style>
  <w:style w:type="paragraph" w:customStyle="1" w:styleId="8">
    <w:name w:val="正文首行缩进1"/>
    <w:qFormat/>
    <w:uiPriority w:val="0"/>
    <w:pPr>
      <w:widowControl w:val="0"/>
      <w:adjustRightInd w:val="0"/>
      <w:spacing w:line="360" w:lineRule="atLeast"/>
      <w:ind w:firstLine="420" w:firstLineChars="100"/>
      <w:jc w:val="both"/>
      <w:textAlignment w:val="baseline"/>
    </w:pPr>
    <w:rPr>
      <w:rFonts w:ascii="Arial" w:hAnsi="Arial" w:eastAsia="宋体" w:cs="Times New Roman"/>
      <w:color w:val="000000"/>
      <w:kern w:val="2"/>
      <w:sz w:val="24"/>
      <w:szCs w:val="24"/>
      <w:lang w:val="en-US" w:eastAsia="zh-CN" w:bidi="ar-SA"/>
    </w:rPr>
  </w:style>
  <w:style w:type="paragraph" w:customStyle="1" w:styleId="9">
    <w:name w:val="表格文字"/>
    <w:basedOn w:val="1"/>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3703</Words>
  <Characters>3781</Characters>
  <Lines>0</Lines>
  <Paragraphs>0</Paragraphs>
  <TotalTime>2</TotalTime>
  <ScaleCrop>false</ScaleCrop>
  <LinksUpToDate>false</LinksUpToDate>
  <CharactersWithSpaces>3863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2023-03-27T11:14:00Z</dcterms:created>
  <dc:creator>李友胜</dc:creator>
  <cp:lastModifiedBy>Alisa</cp:lastModifiedBy>
  <dcterms:modified xsi:type="dcterms:W3CDTF">2026-10-20T08:07:00Z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0BA9EED033CB4396B008641D3D694476_13</vt:lpwstr>
  </property>
  <property fmtid="{D5CDD505-2E9C-101B-9397-08002B2CF9AE}" pid="4" name="KSOTemplateDocerSaveRecord">
    <vt:lpwstr>eyJoZGlkIjoiNDVlN2MyODgzNDU0OWRjN2ExNzgwMTdlZTM2YjcwMTYiLCJ1c2VySWQiOiI2Mzk2MDIzNDUifQ==</vt:lpwstr>
  </property>
</Properties>
</file>