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4D337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贵州医科大学第三附属医院</w:t>
      </w:r>
    </w:p>
    <w:p w14:paraId="2EE07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44"/>
          <w:szCs w:val="44"/>
          <w:lang w:val="en-US" w:eastAsia="zh-CN" w:bidi="ar-SA"/>
        </w:rPr>
        <w:t>合理用药监测系统V4.3、PASS临床药学管理系统V.30维保项目需求</w:t>
      </w:r>
    </w:p>
    <w:p w14:paraId="66DFAE18">
      <w:pPr>
        <w:pStyle w:val="7"/>
        <w:spacing w:line="312" w:lineRule="auto"/>
        <w:ind w:left="0"/>
        <w:jc w:val="left"/>
        <w:rPr>
          <w:rFonts w:hint="eastAsia" w:cs="Times New Roman" w:asciiTheme="minorEastAsia" w:hAnsiTheme="minorEastAsia"/>
          <w:b/>
          <w:bCs/>
          <w:color w:val="FF0000"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一、</w:t>
      </w:r>
      <w:r>
        <w:rPr>
          <w:rFonts w:hint="eastAsia" w:cs="Times New Roman" w:asciiTheme="minorEastAsia" w:hAnsiTheme="minorEastAsia"/>
          <w:b/>
          <w:bCs/>
          <w:sz w:val="28"/>
          <w:szCs w:val="24"/>
        </w:rPr>
        <w:t>维保服务内容要求</w:t>
      </w:r>
    </w:p>
    <w:tbl>
      <w:tblPr>
        <w:tblStyle w:val="15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4"/>
        <w:gridCol w:w="6257"/>
      </w:tblGrid>
      <w:tr w14:paraId="7F5F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 w:hRule="atLeast"/>
          <w:jc w:val="center"/>
        </w:trPr>
        <w:tc>
          <w:tcPr>
            <w:tcW w:w="648" w:type="dxa"/>
            <w:vAlign w:val="center"/>
          </w:tcPr>
          <w:p w14:paraId="64BFDADA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954" w:type="dxa"/>
            <w:vAlign w:val="center"/>
          </w:tcPr>
          <w:p w14:paraId="7BFCBA05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服务内容</w:t>
            </w:r>
          </w:p>
        </w:tc>
        <w:tc>
          <w:tcPr>
            <w:tcW w:w="6257" w:type="dxa"/>
            <w:vAlign w:val="center"/>
          </w:tcPr>
          <w:p w14:paraId="0E199A9B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具体内容</w:t>
            </w:r>
          </w:p>
        </w:tc>
      </w:tr>
      <w:tr w14:paraId="2E09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48" w:type="dxa"/>
            <w:vAlign w:val="center"/>
          </w:tcPr>
          <w:p w14:paraId="6D44F2A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954" w:type="dxa"/>
            <w:vAlign w:val="center"/>
          </w:tcPr>
          <w:p w14:paraId="5A27038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指导服务</w:t>
            </w:r>
          </w:p>
        </w:tc>
        <w:tc>
          <w:tcPr>
            <w:tcW w:w="6257" w:type="dxa"/>
            <w:vAlign w:val="center"/>
          </w:tcPr>
          <w:p w14:paraId="7B065F5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提供培训、指导等服务。</w:t>
            </w:r>
          </w:p>
        </w:tc>
      </w:tr>
      <w:tr w14:paraId="697A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48" w:type="dxa"/>
            <w:vAlign w:val="center"/>
          </w:tcPr>
          <w:p w14:paraId="17E727D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954" w:type="dxa"/>
            <w:vAlign w:val="center"/>
          </w:tcPr>
          <w:p w14:paraId="49401F5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培训服务</w:t>
            </w:r>
          </w:p>
        </w:tc>
        <w:tc>
          <w:tcPr>
            <w:tcW w:w="6257" w:type="dxa"/>
            <w:vAlign w:val="center"/>
          </w:tcPr>
          <w:p w14:paraId="1DFEE27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根据院方要求为院方远程培训管理人员，使得部分问题可以由院方技术人员在第一时间得到解决。包括功能配置、字典维护、参数调整等正常的维护工作。</w:t>
            </w:r>
          </w:p>
        </w:tc>
      </w:tr>
      <w:tr w14:paraId="29C8F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648" w:type="dxa"/>
            <w:vAlign w:val="center"/>
          </w:tcPr>
          <w:p w14:paraId="3E0FDD3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954" w:type="dxa"/>
            <w:vAlign w:val="center"/>
          </w:tcPr>
          <w:p w14:paraId="2B1ABAB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电话咨询服务</w:t>
            </w:r>
          </w:p>
        </w:tc>
        <w:tc>
          <w:tcPr>
            <w:tcW w:w="6257" w:type="dxa"/>
            <w:vAlign w:val="center"/>
          </w:tcPr>
          <w:p w14:paraId="4AF2E5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提供电话咨询，解答院方在系统使用、维护过程中遇到的问题，及时提出解决问题的建议和操作方法。</w:t>
            </w:r>
          </w:p>
        </w:tc>
      </w:tr>
      <w:tr w14:paraId="1546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0DA53C7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954" w:type="dxa"/>
            <w:vAlign w:val="center"/>
          </w:tcPr>
          <w:p w14:paraId="2CCDA84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远程诊断</w:t>
            </w:r>
          </w:p>
        </w:tc>
        <w:tc>
          <w:tcPr>
            <w:tcW w:w="6257" w:type="dxa"/>
            <w:vAlign w:val="center"/>
          </w:tcPr>
          <w:p w14:paraId="704D43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对于电话咨询无法解决的问题，通过Internet远程登录到用户网络系统进行故障诊断和故障排除。</w:t>
            </w:r>
          </w:p>
        </w:tc>
      </w:tr>
      <w:tr w14:paraId="594B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610203A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954" w:type="dxa"/>
            <w:vAlign w:val="center"/>
          </w:tcPr>
          <w:p w14:paraId="6D2E76C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日常维护</w:t>
            </w:r>
          </w:p>
        </w:tc>
        <w:tc>
          <w:tcPr>
            <w:tcW w:w="6257" w:type="dxa"/>
            <w:vAlign w:val="center"/>
          </w:tcPr>
          <w:p w14:paraId="6619CC2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远程协助采购人解决问题、用户使用问题处理、程序BUG修改调整、业务数据调整、系统功能完善等工作。</w:t>
            </w:r>
          </w:p>
        </w:tc>
      </w:tr>
      <w:tr w14:paraId="6DF5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09C9F48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954" w:type="dxa"/>
            <w:vAlign w:val="center"/>
          </w:tcPr>
          <w:p w14:paraId="303E9E1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远程桌面</w:t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t>技术支持服务</w:t>
            </w:r>
          </w:p>
        </w:tc>
        <w:tc>
          <w:tcPr>
            <w:tcW w:w="6257" w:type="dxa"/>
            <w:vAlign w:val="center"/>
          </w:tcPr>
          <w:p w14:paraId="24352DB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发生严重问题，部分或全部工作无法开展，且影响医院正常的工作职能，可7*24小时要求紧急服务，不管是否工作时间，远程30分钟内响应。</w:t>
            </w:r>
          </w:p>
        </w:tc>
      </w:tr>
      <w:tr w14:paraId="09EC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39EBA700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4843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现场</w:t>
            </w: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技术支持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服务</w:t>
            </w:r>
          </w:p>
        </w:tc>
        <w:tc>
          <w:tcPr>
            <w:tcW w:w="6257" w:type="dxa"/>
            <w:shd w:val="clear" w:color="auto" w:fill="auto"/>
            <w:vAlign w:val="center"/>
          </w:tcPr>
          <w:p w14:paraId="2A98A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因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软件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自身问题导致无法正常使用，且远程无法解决时，提供现场服务。</w:t>
            </w:r>
          </w:p>
        </w:tc>
      </w:tr>
      <w:tr w14:paraId="2FC7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48" w:type="dxa"/>
            <w:vAlign w:val="center"/>
          </w:tcPr>
          <w:p w14:paraId="018ABA90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954" w:type="dxa"/>
            <w:vAlign w:val="center"/>
          </w:tcPr>
          <w:p w14:paraId="5E982A8A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文档支持</w:t>
            </w:r>
          </w:p>
        </w:tc>
        <w:tc>
          <w:tcPr>
            <w:tcW w:w="6257" w:type="dxa"/>
            <w:vAlign w:val="center"/>
          </w:tcPr>
          <w:p w14:paraId="28F3896A">
            <w:pPr>
              <w:jc w:val="center"/>
              <w:rPr>
                <w:rFonts w:hint="eastAsia"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协助提供甲方所需要的跟乙方产品、项目实施等有关的，不涉及乙方产品知识产权及商业机密的文档资料</w:t>
            </w:r>
          </w:p>
        </w:tc>
      </w:tr>
      <w:tr w14:paraId="3B32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648" w:type="dxa"/>
            <w:vAlign w:val="center"/>
          </w:tcPr>
          <w:p w14:paraId="646245D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954" w:type="dxa"/>
            <w:vAlign w:val="center"/>
          </w:tcPr>
          <w:p w14:paraId="5386006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数据维护和更新</w:t>
            </w:r>
          </w:p>
        </w:tc>
        <w:tc>
          <w:tcPr>
            <w:tcW w:w="6257" w:type="dxa"/>
            <w:vAlign w:val="center"/>
          </w:tcPr>
          <w:p w14:paraId="48503C40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38E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48" w:type="dxa"/>
            <w:vAlign w:val="center"/>
          </w:tcPr>
          <w:p w14:paraId="70F4C03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954" w:type="dxa"/>
            <w:vAlign w:val="center"/>
          </w:tcPr>
          <w:p w14:paraId="3278A4EE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程序维护和更新</w:t>
            </w:r>
          </w:p>
        </w:tc>
        <w:tc>
          <w:tcPr>
            <w:tcW w:w="6257" w:type="dxa"/>
            <w:vAlign w:val="center"/>
          </w:tcPr>
          <w:p w14:paraId="32AEFF4E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423A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48" w:type="dxa"/>
            <w:vAlign w:val="center"/>
          </w:tcPr>
          <w:p w14:paraId="7B7C14DB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954" w:type="dxa"/>
            <w:vAlign w:val="center"/>
          </w:tcPr>
          <w:p w14:paraId="49B5916F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电话回访服务</w:t>
            </w:r>
          </w:p>
        </w:tc>
        <w:tc>
          <w:tcPr>
            <w:tcW w:w="6257" w:type="dxa"/>
            <w:vAlign w:val="center"/>
          </w:tcPr>
          <w:p w14:paraId="33D3E67D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不少于4次/年</w:t>
            </w:r>
          </w:p>
        </w:tc>
      </w:tr>
      <w:tr w14:paraId="02E0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48" w:type="dxa"/>
            <w:vAlign w:val="center"/>
          </w:tcPr>
          <w:p w14:paraId="22F80FB2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954" w:type="dxa"/>
            <w:vAlign w:val="center"/>
          </w:tcPr>
          <w:p w14:paraId="3E5A054D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年度服务报告</w:t>
            </w:r>
          </w:p>
        </w:tc>
        <w:tc>
          <w:tcPr>
            <w:tcW w:w="6257" w:type="dxa"/>
            <w:vAlign w:val="center"/>
          </w:tcPr>
          <w:p w14:paraId="27D3AD62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1次/年</w:t>
            </w:r>
          </w:p>
        </w:tc>
      </w:tr>
    </w:tbl>
    <w:p w14:paraId="41C394CB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6901D3C0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6741FE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DEB07D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952D025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BD67147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/>
          <w:sz w:val="28"/>
          <w:szCs w:val="28"/>
        </w:rPr>
        <w:t>报价表</w:t>
      </w:r>
    </w:p>
    <w:p w14:paraId="40DA6F36">
      <w:pPr>
        <w:wordWrap w:val="0"/>
        <w:spacing w:line="360" w:lineRule="auto"/>
        <w:ind w:right="-283" w:rightChars="-135"/>
        <w:jc w:val="right"/>
        <w:rPr>
          <w:rFonts w:ascii="Arial" w:hAnsi="Arial" w:eastAsia="仿宋_GB2312" w:cs="Arial"/>
          <w:sz w:val="24"/>
          <w:szCs w:val="24"/>
        </w:rPr>
      </w:pPr>
      <w:r>
        <w:rPr>
          <w:rFonts w:hint="eastAsia" w:ascii="Arial" w:hAnsi="Arial" w:eastAsia="仿宋_GB2312" w:cs="Arial"/>
          <w:sz w:val="28"/>
          <w:szCs w:val="28"/>
        </w:rPr>
        <w:t xml:space="preserve">  </w:t>
      </w:r>
      <w:r>
        <w:rPr>
          <w:rFonts w:ascii="Arial" w:hAnsi="Arial" w:eastAsia="仿宋_GB2312" w:cs="Arial"/>
          <w:sz w:val="24"/>
          <w:szCs w:val="24"/>
        </w:rPr>
        <w:t>单位：元（人民币）</w:t>
      </w:r>
    </w:p>
    <w:tbl>
      <w:tblPr>
        <w:tblStyle w:val="15"/>
        <w:tblW w:w="53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2754"/>
        <w:gridCol w:w="2201"/>
      </w:tblGrid>
      <w:tr w14:paraId="4012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52" w:type="pct"/>
            <w:vAlign w:val="center"/>
          </w:tcPr>
          <w:p w14:paraId="038FD2FB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项  目</w:t>
            </w:r>
          </w:p>
        </w:tc>
        <w:tc>
          <w:tcPr>
            <w:tcW w:w="1471" w:type="pct"/>
            <w:vAlign w:val="center"/>
          </w:tcPr>
          <w:p w14:paraId="058FA2D0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价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/年</w:t>
            </w:r>
          </w:p>
        </w:tc>
        <w:tc>
          <w:tcPr>
            <w:tcW w:w="1176" w:type="pct"/>
            <w:vAlign w:val="center"/>
          </w:tcPr>
          <w:p w14:paraId="367B5287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备  注</w:t>
            </w:r>
          </w:p>
        </w:tc>
      </w:tr>
      <w:tr w14:paraId="62CB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2352" w:type="pct"/>
            <w:vAlign w:val="center"/>
          </w:tcPr>
          <w:p w14:paraId="519C1D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合理用药监测系统V4.3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1B1BF619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restart"/>
            <w:vAlign w:val="center"/>
          </w:tcPr>
          <w:p w14:paraId="12D0D2A3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246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352" w:type="pct"/>
            <w:vAlign w:val="center"/>
          </w:tcPr>
          <w:p w14:paraId="2969280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PASS临床药学管理系统V3.0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61CFD48F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  <w:vAlign w:val="center"/>
          </w:tcPr>
          <w:p w14:paraId="22C1AB9E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4F8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352" w:type="pct"/>
          </w:tcPr>
          <w:p w14:paraId="320DC20E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  <w:p w14:paraId="4CB02C43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合计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：</w:t>
            </w:r>
          </w:p>
        </w:tc>
        <w:tc>
          <w:tcPr>
            <w:tcW w:w="1471" w:type="pct"/>
          </w:tcPr>
          <w:p w14:paraId="4A6F7D3B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</w:tcPr>
          <w:p w14:paraId="3FFF5B23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</w:tbl>
    <w:p w14:paraId="6AD4B668">
      <w:pPr>
        <w:widowControl/>
        <w:spacing w:line="240" w:lineRule="auto"/>
        <w:ind w:left="0" w:leftChars="0" w:right="0" w:firstLine="0" w:firstLineChars="0"/>
        <w:jc w:val="right"/>
        <w:rPr>
          <w:rFonts w:ascii="Arial" w:hAnsi="Arial" w:eastAsia="仿宋_GB2312" w:cs="Arial"/>
          <w:b/>
          <w:szCs w:val="21"/>
        </w:rPr>
      </w:pPr>
    </w:p>
    <w:p w14:paraId="17913D0A">
      <w:pPr>
        <w:widowControl/>
        <w:wordWrap/>
        <w:spacing w:line="360" w:lineRule="auto"/>
        <w:ind w:left="0" w:leftChars="0" w:right="0" w:firstLine="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供应商名称：</w:t>
      </w:r>
    </w:p>
    <w:p w14:paraId="5AA9D2AA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 xml:space="preserve">联系人：                                                           </w:t>
      </w:r>
    </w:p>
    <w:p w14:paraId="58DDDED6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联系方式：</w:t>
      </w:r>
    </w:p>
    <w:p w14:paraId="1074D388">
      <w:pPr>
        <w:widowControl/>
        <w:wordWrap/>
        <w:spacing w:line="360" w:lineRule="auto"/>
        <w:ind w:right="-285"/>
        <w:jc w:val="left"/>
        <w:rPr>
          <w:rFonts w:hint="default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日    期：</w:t>
      </w:r>
    </w:p>
    <w:p w14:paraId="22A314C4">
      <w:pPr>
        <w:ind w:right="117" w:rightChars="56"/>
        <w:rPr>
          <w:rFonts w:hint="eastAsia" w:asciiTheme="minorEastAsia" w:hAnsiTheme="minorEastAsia"/>
          <w:sz w:val="28"/>
          <w:szCs w:val="28"/>
        </w:rPr>
      </w:pPr>
    </w:p>
    <w:sectPr>
      <w:footerReference r:id="rId3" w:type="default"/>
      <w:footerReference r:id="rId4" w:type="even"/>
      <w:type w:val="continuous"/>
      <w:pgSz w:w="11906" w:h="16838"/>
      <w:pgMar w:top="1134" w:right="1701" w:bottom="1134" w:left="1701" w:header="567" w:footer="56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D6F1">
    <w:pPr>
      <w:pStyle w:val="11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7C230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79415A90">
    <w:pPr>
      <w:pStyle w:val="1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B24F97"/>
    <w:multiLevelType w:val="multilevel"/>
    <w:tmpl w:val="4AB24F97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3"/>
      <w:lvlText w:val="%1.%2.%3"/>
      <w:lvlJc w:val="left"/>
      <w:pPr>
        <w:tabs>
          <w:tab w:val="left" w:pos="3960"/>
        </w:tabs>
        <w:ind w:left="396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20"/>
    <w:rsid w:val="0000154F"/>
    <w:rsid w:val="0000455E"/>
    <w:rsid w:val="00015488"/>
    <w:rsid w:val="00024E68"/>
    <w:rsid w:val="00026173"/>
    <w:rsid w:val="00042BF2"/>
    <w:rsid w:val="00044035"/>
    <w:rsid w:val="00044B1B"/>
    <w:rsid w:val="00051F42"/>
    <w:rsid w:val="0005525A"/>
    <w:rsid w:val="00074048"/>
    <w:rsid w:val="00082400"/>
    <w:rsid w:val="00087188"/>
    <w:rsid w:val="00093E2C"/>
    <w:rsid w:val="000C482F"/>
    <w:rsid w:val="000E6D60"/>
    <w:rsid w:val="000E79F1"/>
    <w:rsid w:val="000F6708"/>
    <w:rsid w:val="000F7528"/>
    <w:rsid w:val="001033F3"/>
    <w:rsid w:val="00106B77"/>
    <w:rsid w:val="0012171F"/>
    <w:rsid w:val="00124A8C"/>
    <w:rsid w:val="001276B4"/>
    <w:rsid w:val="001372AE"/>
    <w:rsid w:val="00161064"/>
    <w:rsid w:val="001623D5"/>
    <w:rsid w:val="00167574"/>
    <w:rsid w:val="00172BD2"/>
    <w:rsid w:val="0018697D"/>
    <w:rsid w:val="001B3DBC"/>
    <w:rsid w:val="001B58C5"/>
    <w:rsid w:val="001B70FD"/>
    <w:rsid w:val="001C1F23"/>
    <w:rsid w:val="001C4F65"/>
    <w:rsid w:val="001F49A2"/>
    <w:rsid w:val="00206D12"/>
    <w:rsid w:val="0023205F"/>
    <w:rsid w:val="00250192"/>
    <w:rsid w:val="00261A78"/>
    <w:rsid w:val="00265DF0"/>
    <w:rsid w:val="00272181"/>
    <w:rsid w:val="00273595"/>
    <w:rsid w:val="00291D6B"/>
    <w:rsid w:val="00293714"/>
    <w:rsid w:val="0029419B"/>
    <w:rsid w:val="002A467C"/>
    <w:rsid w:val="002C2123"/>
    <w:rsid w:val="002C575E"/>
    <w:rsid w:val="002F5D68"/>
    <w:rsid w:val="002F6FD9"/>
    <w:rsid w:val="003163D0"/>
    <w:rsid w:val="00334813"/>
    <w:rsid w:val="00340E4B"/>
    <w:rsid w:val="003410E6"/>
    <w:rsid w:val="003445E8"/>
    <w:rsid w:val="0034588C"/>
    <w:rsid w:val="00363EB4"/>
    <w:rsid w:val="003953ED"/>
    <w:rsid w:val="003B1141"/>
    <w:rsid w:val="003B1D9E"/>
    <w:rsid w:val="003C0A1C"/>
    <w:rsid w:val="003D457C"/>
    <w:rsid w:val="003E325D"/>
    <w:rsid w:val="003E4863"/>
    <w:rsid w:val="003F37B5"/>
    <w:rsid w:val="003F7388"/>
    <w:rsid w:val="004001BA"/>
    <w:rsid w:val="00401513"/>
    <w:rsid w:val="0040753F"/>
    <w:rsid w:val="00410273"/>
    <w:rsid w:val="00413014"/>
    <w:rsid w:val="00440E34"/>
    <w:rsid w:val="00444FBC"/>
    <w:rsid w:val="00446323"/>
    <w:rsid w:val="00447341"/>
    <w:rsid w:val="004513FF"/>
    <w:rsid w:val="00456478"/>
    <w:rsid w:val="00463F69"/>
    <w:rsid w:val="00465A9B"/>
    <w:rsid w:val="004740E3"/>
    <w:rsid w:val="004920BB"/>
    <w:rsid w:val="00494843"/>
    <w:rsid w:val="004A436A"/>
    <w:rsid w:val="004A43BA"/>
    <w:rsid w:val="004B0C53"/>
    <w:rsid w:val="004D0412"/>
    <w:rsid w:val="004D0976"/>
    <w:rsid w:val="004D2052"/>
    <w:rsid w:val="004D21C4"/>
    <w:rsid w:val="004D6041"/>
    <w:rsid w:val="004D6CF7"/>
    <w:rsid w:val="00506576"/>
    <w:rsid w:val="005259B4"/>
    <w:rsid w:val="0052727C"/>
    <w:rsid w:val="00531767"/>
    <w:rsid w:val="005340B4"/>
    <w:rsid w:val="005455BF"/>
    <w:rsid w:val="00545A04"/>
    <w:rsid w:val="005463B8"/>
    <w:rsid w:val="005639A3"/>
    <w:rsid w:val="00567620"/>
    <w:rsid w:val="0056783F"/>
    <w:rsid w:val="0057017C"/>
    <w:rsid w:val="005742D3"/>
    <w:rsid w:val="00582814"/>
    <w:rsid w:val="00590893"/>
    <w:rsid w:val="005923DA"/>
    <w:rsid w:val="00592D81"/>
    <w:rsid w:val="005A2134"/>
    <w:rsid w:val="005A4693"/>
    <w:rsid w:val="005A5D85"/>
    <w:rsid w:val="005E5D54"/>
    <w:rsid w:val="005E6850"/>
    <w:rsid w:val="00614052"/>
    <w:rsid w:val="0061455C"/>
    <w:rsid w:val="00620A2D"/>
    <w:rsid w:val="00634EDC"/>
    <w:rsid w:val="00636F01"/>
    <w:rsid w:val="00642519"/>
    <w:rsid w:val="006451F8"/>
    <w:rsid w:val="0065425A"/>
    <w:rsid w:val="00657AE2"/>
    <w:rsid w:val="00680304"/>
    <w:rsid w:val="006808C2"/>
    <w:rsid w:val="00692D30"/>
    <w:rsid w:val="006C68A5"/>
    <w:rsid w:val="006C74F9"/>
    <w:rsid w:val="006D617C"/>
    <w:rsid w:val="006E3727"/>
    <w:rsid w:val="006F6CD2"/>
    <w:rsid w:val="006F7B5E"/>
    <w:rsid w:val="007119AD"/>
    <w:rsid w:val="007143AD"/>
    <w:rsid w:val="007145B6"/>
    <w:rsid w:val="007161C4"/>
    <w:rsid w:val="00721E81"/>
    <w:rsid w:val="0073200D"/>
    <w:rsid w:val="007333C7"/>
    <w:rsid w:val="0073477A"/>
    <w:rsid w:val="00742C31"/>
    <w:rsid w:val="007436D8"/>
    <w:rsid w:val="00756D72"/>
    <w:rsid w:val="00756F48"/>
    <w:rsid w:val="007614F2"/>
    <w:rsid w:val="00762930"/>
    <w:rsid w:val="007A1E98"/>
    <w:rsid w:val="007C659A"/>
    <w:rsid w:val="007D691C"/>
    <w:rsid w:val="007F0800"/>
    <w:rsid w:val="007F1F4F"/>
    <w:rsid w:val="007F27BF"/>
    <w:rsid w:val="008142CF"/>
    <w:rsid w:val="008234EF"/>
    <w:rsid w:val="008279EC"/>
    <w:rsid w:val="00844C9D"/>
    <w:rsid w:val="0084623A"/>
    <w:rsid w:val="00851EF0"/>
    <w:rsid w:val="0085387D"/>
    <w:rsid w:val="00856071"/>
    <w:rsid w:val="00865CCD"/>
    <w:rsid w:val="00870D35"/>
    <w:rsid w:val="0087335C"/>
    <w:rsid w:val="0087523E"/>
    <w:rsid w:val="00880E37"/>
    <w:rsid w:val="00881825"/>
    <w:rsid w:val="008978A9"/>
    <w:rsid w:val="008A1EC8"/>
    <w:rsid w:val="008A4A5B"/>
    <w:rsid w:val="008B62C6"/>
    <w:rsid w:val="008B6AC8"/>
    <w:rsid w:val="008D0532"/>
    <w:rsid w:val="008E242D"/>
    <w:rsid w:val="008E3561"/>
    <w:rsid w:val="008E3C12"/>
    <w:rsid w:val="008F0FFB"/>
    <w:rsid w:val="008F26D6"/>
    <w:rsid w:val="009052CB"/>
    <w:rsid w:val="00906E89"/>
    <w:rsid w:val="00907572"/>
    <w:rsid w:val="00917557"/>
    <w:rsid w:val="00920B03"/>
    <w:rsid w:val="0092435E"/>
    <w:rsid w:val="00932F63"/>
    <w:rsid w:val="00953AD0"/>
    <w:rsid w:val="00965C80"/>
    <w:rsid w:val="00981ADC"/>
    <w:rsid w:val="00984416"/>
    <w:rsid w:val="00990911"/>
    <w:rsid w:val="009A0778"/>
    <w:rsid w:val="009A07D2"/>
    <w:rsid w:val="009B4240"/>
    <w:rsid w:val="009B4756"/>
    <w:rsid w:val="009B7A18"/>
    <w:rsid w:val="009C43C2"/>
    <w:rsid w:val="009C7A1D"/>
    <w:rsid w:val="009D485B"/>
    <w:rsid w:val="009E57EB"/>
    <w:rsid w:val="009E58C7"/>
    <w:rsid w:val="009F6493"/>
    <w:rsid w:val="00A042C5"/>
    <w:rsid w:val="00A121B9"/>
    <w:rsid w:val="00A21823"/>
    <w:rsid w:val="00A3022B"/>
    <w:rsid w:val="00A35861"/>
    <w:rsid w:val="00A457C5"/>
    <w:rsid w:val="00A50D2C"/>
    <w:rsid w:val="00A80270"/>
    <w:rsid w:val="00A9740A"/>
    <w:rsid w:val="00AA447A"/>
    <w:rsid w:val="00AB2220"/>
    <w:rsid w:val="00AC42DC"/>
    <w:rsid w:val="00AD13D5"/>
    <w:rsid w:val="00AF4AEF"/>
    <w:rsid w:val="00B00144"/>
    <w:rsid w:val="00B023C2"/>
    <w:rsid w:val="00B15870"/>
    <w:rsid w:val="00B21137"/>
    <w:rsid w:val="00B23FF6"/>
    <w:rsid w:val="00B26CF9"/>
    <w:rsid w:val="00B31D7A"/>
    <w:rsid w:val="00B41D63"/>
    <w:rsid w:val="00B44E16"/>
    <w:rsid w:val="00B454FA"/>
    <w:rsid w:val="00B80230"/>
    <w:rsid w:val="00B8611A"/>
    <w:rsid w:val="00B938C6"/>
    <w:rsid w:val="00B96CD6"/>
    <w:rsid w:val="00BA4D27"/>
    <w:rsid w:val="00BA711C"/>
    <w:rsid w:val="00BB7352"/>
    <w:rsid w:val="00BC1324"/>
    <w:rsid w:val="00BC19A0"/>
    <w:rsid w:val="00BC4FAC"/>
    <w:rsid w:val="00BD294F"/>
    <w:rsid w:val="00BE0BBA"/>
    <w:rsid w:val="00C133AE"/>
    <w:rsid w:val="00C15F00"/>
    <w:rsid w:val="00C21198"/>
    <w:rsid w:val="00C27AF2"/>
    <w:rsid w:val="00C3534C"/>
    <w:rsid w:val="00C3561F"/>
    <w:rsid w:val="00C4799D"/>
    <w:rsid w:val="00C520A6"/>
    <w:rsid w:val="00C60AD8"/>
    <w:rsid w:val="00C905ED"/>
    <w:rsid w:val="00CA19F2"/>
    <w:rsid w:val="00CA6F3D"/>
    <w:rsid w:val="00CC209B"/>
    <w:rsid w:val="00CC39EA"/>
    <w:rsid w:val="00CC4CE4"/>
    <w:rsid w:val="00CC4D97"/>
    <w:rsid w:val="00CD12F7"/>
    <w:rsid w:val="00CD1A13"/>
    <w:rsid w:val="00CD2BB6"/>
    <w:rsid w:val="00CD3392"/>
    <w:rsid w:val="00CD3DFB"/>
    <w:rsid w:val="00CD4B9D"/>
    <w:rsid w:val="00CF428E"/>
    <w:rsid w:val="00CF7C75"/>
    <w:rsid w:val="00D16191"/>
    <w:rsid w:val="00D35873"/>
    <w:rsid w:val="00D45D51"/>
    <w:rsid w:val="00D45FD5"/>
    <w:rsid w:val="00D771E0"/>
    <w:rsid w:val="00DA0D0B"/>
    <w:rsid w:val="00DA24A0"/>
    <w:rsid w:val="00DA2E81"/>
    <w:rsid w:val="00DA67FC"/>
    <w:rsid w:val="00DB235A"/>
    <w:rsid w:val="00DC15A7"/>
    <w:rsid w:val="00DC6CF3"/>
    <w:rsid w:val="00DC7033"/>
    <w:rsid w:val="00DD3DAE"/>
    <w:rsid w:val="00DD432D"/>
    <w:rsid w:val="00DE42B7"/>
    <w:rsid w:val="00E1325A"/>
    <w:rsid w:val="00E15806"/>
    <w:rsid w:val="00E356B4"/>
    <w:rsid w:val="00E5009E"/>
    <w:rsid w:val="00E60F75"/>
    <w:rsid w:val="00E72933"/>
    <w:rsid w:val="00E7671F"/>
    <w:rsid w:val="00E92E43"/>
    <w:rsid w:val="00E94FD8"/>
    <w:rsid w:val="00EA1E9E"/>
    <w:rsid w:val="00EB1C75"/>
    <w:rsid w:val="00EC321C"/>
    <w:rsid w:val="00EC4100"/>
    <w:rsid w:val="00EC6A61"/>
    <w:rsid w:val="00EE457B"/>
    <w:rsid w:val="00EE6DB2"/>
    <w:rsid w:val="00EF1BDB"/>
    <w:rsid w:val="00F002D1"/>
    <w:rsid w:val="00F0318C"/>
    <w:rsid w:val="00F10341"/>
    <w:rsid w:val="00F2391E"/>
    <w:rsid w:val="00F2726A"/>
    <w:rsid w:val="00F479DE"/>
    <w:rsid w:val="00F5151B"/>
    <w:rsid w:val="00F54FCE"/>
    <w:rsid w:val="00F828E8"/>
    <w:rsid w:val="00F84246"/>
    <w:rsid w:val="00F9599D"/>
    <w:rsid w:val="00FA5655"/>
    <w:rsid w:val="00FB2E86"/>
    <w:rsid w:val="00FB39B5"/>
    <w:rsid w:val="00FC152C"/>
    <w:rsid w:val="00FC5C53"/>
    <w:rsid w:val="00FC5CB7"/>
    <w:rsid w:val="00FF3939"/>
    <w:rsid w:val="00FF4DBD"/>
    <w:rsid w:val="00FF52CE"/>
    <w:rsid w:val="07DD0945"/>
    <w:rsid w:val="0A740B43"/>
    <w:rsid w:val="207C30E8"/>
    <w:rsid w:val="20D719F1"/>
    <w:rsid w:val="42444D59"/>
    <w:rsid w:val="51A33158"/>
    <w:rsid w:val="55FC673C"/>
    <w:rsid w:val="5F154D55"/>
    <w:rsid w:val="6D67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25"/>
    <w:qFormat/>
    <w:uiPriority w:val="0"/>
    <w:pPr>
      <w:keepNext/>
      <w:numPr>
        <w:ilvl w:val="1"/>
        <w:numId w:val="1"/>
      </w:numPr>
      <w:spacing w:line="360" w:lineRule="auto"/>
      <w:outlineLvl w:val="1"/>
    </w:pPr>
    <w:rPr>
      <w:b/>
      <w:bCs/>
      <w:szCs w:val="24"/>
    </w:rPr>
  </w:style>
  <w:style w:type="paragraph" w:styleId="3">
    <w:name w:val="heading 3"/>
    <w:basedOn w:val="1"/>
    <w:next w:val="1"/>
    <w:link w:val="26"/>
    <w:qFormat/>
    <w:uiPriority w:val="0"/>
    <w:pPr>
      <w:keepNext/>
      <w:numPr>
        <w:ilvl w:val="2"/>
        <w:numId w:val="1"/>
      </w:numPr>
      <w:spacing w:line="360" w:lineRule="auto"/>
      <w:outlineLvl w:val="2"/>
    </w:pPr>
    <w:rPr>
      <w:b/>
      <w:bCs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link w:val="22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line="360" w:lineRule="atLeast"/>
    </w:pPr>
    <w:rPr>
      <w:rFonts w:eastAsia="楷体_GB2312"/>
      <w:sz w:val="24"/>
    </w:rPr>
  </w:style>
  <w:style w:type="paragraph" w:styleId="7">
    <w:name w:val="Body Text Indent"/>
    <w:basedOn w:val="1"/>
    <w:qFormat/>
    <w:uiPriority w:val="0"/>
    <w:pPr>
      <w:ind w:left="210"/>
    </w:pPr>
    <w:rPr>
      <w:rFonts w:ascii="仿宋_GB2312" w:eastAsia="仿宋_GB2312"/>
      <w:sz w:val="18"/>
    </w:rPr>
  </w:style>
  <w:style w:type="paragraph" w:styleId="8">
    <w:name w:val="Date"/>
    <w:basedOn w:val="1"/>
    <w:next w:val="1"/>
    <w:link w:val="27"/>
    <w:qFormat/>
    <w:uiPriority w:val="0"/>
    <w:pPr>
      <w:ind w:left="100" w:leftChars="2500"/>
    </w:pPr>
  </w:style>
  <w:style w:type="paragraph" w:styleId="9">
    <w:name w:val="Body Text Indent 2"/>
    <w:basedOn w:val="1"/>
    <w:qFormat/>
    <w:uiPriority w:val="0"/>
    <w:pPr>
      <w:spacing w:line="0" w:lineRule="atLeast"/>
      <w:ind w:firstLine="420" w:firstLineChars="200"/>
    </w:pPr>
    <w:rPr>
      <w:rFonts w:ascii="仿宋_GB2312" w:eastAsia="仿宋_GB2312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ind w:left="420"/>
    </w:pPr>
    <w:rPr>
      <w:rFonts w:ascii="仿宋_GB2312" w:eastAsia="仿宋_GB2312"/>
    </w:rPr>
  </w:style>
  <w:style w:type="paragraph" w:styleId="14">
    <w:name w:val="annotation subject"/>
    <w:basedOn w:val="5"/>
    <w:next w:val="5"/>
    <w:link w:val="23"/>
    <w:uiPriority w:val="0"/>
    <w:rPr>
      <w:b/>
      <w:bCs/>
    </w:rPr>
  </w:style>
  <w:style w:type="table" w:styleId="16">
    <w:name w:val="Table Grid"/>
    <w:basedOn w:val="15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qFormat/>
    <w:uiPriority w:val="99"/>
    <w:rPr>
      <w:sz w:val="21"/>
      <w:szCs w:val="21"/>
    </w:rPr>
  </w:style>
  <w:style w:type="character" w:customStyle="1" w:styleId="22">
    <w:name w:val="批注文字 字符"/>
    <w:link w:val="5"/>
    <w:qFormat/>
    <w:uiPriority w:val="0"/>
    <w:rPr>
      <w:kern w:val="2"/>
      <w:sz w:val="21"/>
    </w:rPr>
  </w:style>
  <w:style w:type="character" w:customStyle="1" w:styleId="23">
    <w:name w:val="批注主题 字符"/>
    <w:link w:val="14"/>
    <w:qFormat/>
    <w:uiPriority w:val="0"/>
    <w:rPr>
      <w:b/>
      <w:bCs/>
      <w:kern w:val="2"/>
      <w:sz w:val="21"/>
    </w:rPr>
  </w:style>
  <w:style w:type="character" w:customStyle="1" w:styleId="24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5">
    <w:name w:val="标题 2 字符"/>
    <w:link w:val="2"/>
    <w:qFormat/>
    <w:uiPriority w:val="0"/>
    <w:rPr>
      <w:b/>
      <w:bCs/>
      <w:kern w:val="2"/>
      <w:sz w:val="21"/>
      <w:szCs w:val="24"/>
    </w:rPr>
  </w:style>
  <w:style w:type="character" w:customStyle="1" w:styleId="26">
    <w:name w:val="标题 3 字符"/>
    <w:link w:val="3"/>
    <w:qFormat/>
    <w:uiPriority w:val="0"/>
    <w:rPr>
      <w:b/>
      <w:bCs/>
      <w:kern w:val="2"/>
      <w:sz w:val="21"/>
      <w:szCs w:val="24"/>
    </w:rPr>
  </w:style>
  <w:style w:type="character" w:customStyle="1" w:styleId="27">
    <w:name w:val="日期 字符"/>
    <w:link w:val="8"/>
    <w:qFormat/>
    <w:uiPriority w:val="0"/>
    <w:rPr>
      <w:kern w:val="2"/>
      <w:sz w:val="21"/>
    </w:rPr>
  </w:style>
  <w:style w:type="character" w:customStyle="1" w:styleId="28">
    <w:name w:val="页眉 字符"/>
    <w:basedOn w:val="17"/>
    <w:link w:val="12"/>
    <w:qFormat/>
    <w:uiPriority w:val="99"/>
    <w:rPr>
      <w:kern w:val="2"/>
      <w:sz w:val="18"/>
      <w:szCs w:val="18"/>
    </w:rPr>
  </w:style>
  <w:style w:type="paragraph" w:styleId="29">
    <w:name w:val="List Paragraph"/>
    <w:basedOn w:val="1"/>
    <w:link w:val="30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30">
    <w:name w:val="列表段落 字符"/>
    <w:link w:val="29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Medicom</Company>
  <Pages>2</Pages>
  <Words>588</Words>
  <Characters>628</Characters>
  <Lines>47</Lines>
  <Paragraphs>40</Paragraphs>
  <TotalTime>1</TotalTime>
  <ScaleCrop>false</ScaleCrop>
  <LinksUpToDate>false</LinksUpToDate>
  <CharactersWithSpaces>697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2026-02-10T07:08:00Z</dcterms:created>
  <dc:creator>Medicom</dc:creator>
  <cp:lastModifiedBy>Alisa</cp:lastModifiedBy>
  <cp:lastPrinted>2022-07-21T01:26:00Z</cp:lastPrinted>
  <dcterms:modified xsi:type="dcterms:W3CDTF">2026-08-17T02:21:12Z</dcterms:modified>
  <dc:title>合同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3EFE3DCFD45042B3963524F24A8FBA22_13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