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F8D51">
      <w:pPr>
        <w:spacing w:before="156" w:beforeLines="50" w:after="156" w:afterLines="50"/>
        <w:jc w:val="center"/>
        <w:rPr>
          <w:rFonts w:hint="eastAsia"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</w:rPr>
        <w:t>贵州医科大学第三附属医院</w:t>
      </w:r>
    </w:p>
    <w:p w14:paraId="239BD8CA">
      <w:pPr>
        <w:spacing w:before="156" w:beforeLines="50" w:after="156" w:afterLines="50"/>
        <w:jc w:val="center"/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color w:val="000000"/>
          <w:sz w:val="44"/>
          <w:szCs w:val="44"/>
        </w:rPr>
        <w:t>追溯解析数据服务系统项目需求</w:t>
      </w:r>
      <w:r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  <w:t>及报价</w:t>
      </w:r>
    </w:p>
    <w:p w14:paraId="7BA3696D">
      <w:pPr>
        <w:spacing w:before="156" w:beforeLines="50" w:after="156" w:afterLines="50"/>
        <w:jc w:val="left"/>
        <w:rPr>
          <w:rFonts w:hint="default" w:ascii="宋体" w:hAnsi="宋体"/>
          <w:b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一、需求及报价</w:t>
      </w:r>
    </w:p>
    <w:tbl>
      <w:tblPr>
        <w:tblStyle w:val="4"/>
        <w:tblpPr w:leftFromText="180" w:rightFromText="180" w:vertAnchor="text" w:horzAnchor="page" w:tblpX="1657" w:tblpY="192"/>
        <w:tblOverlap w:val="never"/>
        <w:tblW w:w="13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10"/>
        <w:gridCol w:w="7071"/>
        <w:gridCol w:w="1231"/>
        <w:gridCol w:w="1110"/>
        <w:gridCol w:w="1463"/>
      </w:tblGrid>
      <w:tr w14:paraId="7611F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129" w:type="dxa"/>
            <w:vAlign w:val="center"/>
          </w:tcPr>
          <w:p w14:paraId="58C23926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10" w:type="dxa"/>
            <w:vAlign w:val="center"/>
          </w:tcPr>
          <w:p w14:paraId="793B6AD3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系统名称</w:t>
            </w:r>
          </w:p>
        </w:tc>
        <w:tc>
          <w:tcPr>
            <w:tcW w:w="7071" w:type="dxa"/>
            <w:vAlign w:val="center"/>
          </w:tcPr>
          <w:p w14:paraId="5BAAEBF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b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功能需求</w:t>
            </w:r>
          </w:p>
        </w:tc>
        <w:tc>
          <w:tcPr>
            <w:tcW w:w="1231" w:type="dxa"/>
            <w:vAlign w:val="center"/>
          </w:tcPr>
          <w:p w14:paraId="0AF97F2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110" w:type="dxa"/>
            <w:vAlign w:val="center"/>
          </w:tcPr>
          <w:p w14:paraId="7E0774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  <w:p w14:paraId="144056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元/年</w:t>
            </w:r>
          </w:p>
        </w:tc>
        <w:tc>
          <w:tcPr>
            <w:tcW w:w="1463" w:type="dxa"/>
            <w:vAlign w:val="center"/>
          </w:tcPr>
          <w:p w14:paraId="6EB6D5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E0E4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1129" w:type="dxa"/>
            <w:vAlign w:val="center"/>
          </w:tcPr>
          <w:p w14:paraId="5CC3D1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eastAsia="仿宋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10" w:type="dxa"/>
            <w:vAlign w:val="center"/>
          </w:tcPr>
          <w:p w14:paraId="385C3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追溯解析数据服务系统</w:t>
            </w:r>
          </w:p>
        </w:tc>
        <w:tc>
          <w:tcPr>
            <w:tcW w:w="7071" w:type="dxa"/>
            <w:vAlign w:val="top"/>
          </w:tcPr>
          <w:p w14:paraId="0A2F37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eastAsia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1、导入HIS药品基本信息进行多码融合校验，由平台核验his药品编码、医保编码、追溯码及阳采药品编码的编码映射关联.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2、维护或导入供应商信息，用于进行药品的配送协同、从追溯平台获取追溯码关联关系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3、供应商通过接口将随货同行单信息（配送品种、生产批号、生产日期、失效日期、数量、单价、金额、发票号、开票日期等）及追溯码信息上传；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4、医院能够查询上游供应商的配送信息（随货同行单和追溯码信息），并能够依据配送信息快速生成验收入库单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5、支持PDA/WEB双端验收： PDA扫码（发票二维码/追溯码）快速定位配送信息，并逐一扫描追溯码进行核验。WEB端支持高拍仪批量扫码和扫码枪逐个扫码，自动解析追溯码并校验药品批号和失效日期（有效期≤6个月时触发预警）。验收结果提交进行入库确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快速入库:（1）提供标准化接口供HIS系统调用验收数据，支持前置机对接和文件导入（Excel/JSON格式）两种方式完成药品在HIS系统中快速入库。（2）支持使用PDA扫描追溯码及发票二维码获取配送信息，通过确认收货实现快速入库；（3）提供入库数据导出功能及入库数据获取的标准接口，HIS可通过接口或导入文件的方式获取入库信息和追溯码，在HIS系统中实现快速入库，追溯数据满足医保局对追溯码采集要求，包含药品核心字段：药品名称、生产批次号、批准文号、生产企业名称、生产日期、过期时间、包装规格、制剂规格、包装单位、实际入库数量、包装转换比、制剂单位、制剂数量、入库药品单位、追溯码、父级追溯码、包装级别、最小包装数量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7、完善门诊、住院整盒和拆零药品的全量扫码。</w:t>
            </w:r>
          </w:p>
        </w:tc>
        <w:tc>
          <w:tcPr>
            <w:tcW w:w="1231" w:type="dxa"/>
            <w:vAlign w:val="center"/>
          </w:tcPr>
          <w:p w14:paraId="128C5D9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eastAsia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1套</w:t>
            </w:r>
          </w:p>
        </w:tc>
        <w:tc>
          <w:tcPr>
            <w:tcW w:w="1110" w:type="dxa"/>
            <w:vAlign w:val="center"/>
          </w:tcPr>
          <w:p w14:paraId="28603A16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3" w:type="dxa"/>
            <w:vAlign w:val="center"/>
          </w:tcPr>
          <w:p w14:paraId="780652CE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0AC3FC6">
      <w:pPr>
        <w:rPr>
          <w:rFonts w:ascii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B059724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供应商名称：</w:t>
      </w:r>
    </w:p>
    <w:p w14:paraId="28383636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联系人：</w:t>
      </w:r>
    </w:p>
    <w:p w14:paraId="604382F5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联系电话：</w:t>
      </w:r>
    </w:p>
    <w:p w14:paraId="4C4160E3">
      <w:pPr>
        <w:numPr>
          <w:numId w:val="0"/>
        </w:numPr>
        <w:spacing w:before="156" w:beforeLines="50" w:after="156" w:afterLines="50"/>
        <w:jc w:val="left"/>
        <w:rPr>
          <w:rFonts w:hint="default" w:ascii="宋体" w:hAnsi="宋体"/>
          <w:b/>
          <w:color w:val="000000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35BCC"/>
    <w:rsid w:val="1EF0371A"/>
    <w:rsid w:val="24DB1FEC"/>
    <w:rsid w:val="57237983"/>
    <w:rsid w:val="58B35BCC"/>
    <w:rsid w:val="7527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580" w:lineRule="exact"/>
      <w:ind w:firstLine="320" w:firstLineChars="100"/>
    </w:pPr>
    <w:rPr>
      <w:rFonts w:ascii="仿宋_GB2312" w:eastAsia="仿宋_GB2312"/>
      <w:kern w:val="0"/>
      <w:sz w:val="32"/>
    </w:rPr>
  </w:style>
  <w:style w:type="paragraph" w:styleId="3">
    <w:name w:val="Body Text First Indent 2"/>
    <w:basedOn w:val="2"/>
    <w:semiHidden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2025-11-27T02:48:00Z</dcterms:created>
  <dc:creator>Angeladidi</dc:creator>
  <cp:lastModifiedBy>未命名</cp:lastModifiedBy>
  <dcterms:modified xsi:type="dcterms:W3CDTF">2026-06-29T03:13:45Z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95182456C9184385BA95DDF5BC2586FC_13</vt:lpwstr>
  </property>
  <property fmtid="{D5CDD505-2E9C-101B-9397-08002B2CF9AE}" pid="4" name="KSOTemplateDocerSaveRecord">
    <vt:lpwstr>eyJoZGlkIjoiY2NmZWE1YTIzYzQ2MDYzOGEwYTM3YjE5MzFjZTg3MWQiLCJ1c2VySWQiOiI4NjYwMTYxMDYifQ==</vt:lpwstr>
  </property>
</Properties>
</file>